
<file path=[Content_Types].xml><?xml version="1.0" encoding="utf-8"?>
<Types xmlns="http://schemas.openxmlformats.org/package/2006/content-types">
  <Default Extension="xml" ContentType="application/xml"/>
  <Default Extension="jpeg" ContentType="image/jpeg"/>
  <Default Extension="wmf" ContentType="image/x-wmf"/>
  <Default Extension="png" ContentType="image/png"/>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numbering.xml" ContentType="application/vnd.openxmlformats-officedocument.wordprocessingml.numbering+xml"/>
  <Override PartName="/word/footnotes.xml" ContentType="application/vnd.openxmlformats-officedocument.wordprocessingml.footnotes+xml"/>
  <Override PartName="/word/header1.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sdt>
      <w:sdtPr>
        <w15:appearance w15:val="boundingBox"/>
        <w:id w:val="-1296136699"/>
        <w:docPartObj>
          <w:docPartGallery w:val="Table of Contents"/>
          <w:docPartUnique w:val="true"/>
        </w:docPartObj>
        <w:rPr>
          <w:rFonts w:ascii="Arial" w:hAnsi="Arial" w:eastAsiaTheme="minorHAnsi" w:cstheme="minorBidi"/>
          <w:color w:val="auto"/>
          <w:sz w:val="20"/>
          <w:szCs w:val="22"/>
          <w:lang w:eastAsia="en-US"/>
        </w:rPr>
      </w:sdtPr>
      <w:sdtContent>
        <w:p>
          <w:pPr>
            <w:pStyle w:val="826"/>
            <w:pBdr/>
            <w:spacing/>
            <w:ind/>
            <w:rPr>
              <w:rFonts w:ascii="Arial" w:hAnsi="Arial" w:cs="Arial"/>
              <w:color w:val="auto"/>
              <w:sz w:val="28"/>
            </w:rPr>
          </w:pPr>
          <w:r>
            <w:rPr>
              <w:rFonts w:ascii="Arial" w:hAnsi="Arial" w:cs="Arial"/>
              <w:color w:val="auto"/>
              <w:sz w:val="28"/>
            </w:rPr>
            <w:t xml:space="preserve">Obsah:</w:t>
          </w:r>
          <w:r>
            <w:rPr>
              <w:rFonts w:ascii="Arial" w:hAnsi="Arial" w:cs="Arial"/>
              <w:color w:val="auto"/>
              <w:sz w:val="28"/>
            </w:rPr>
          </w:r>
        </w:p>
        <w:p>
          <w:pPr>
            <w:pBdr/>
            <w:spacing/>
            <w:ind/>
            <w:rPr>
              <w:lang w:eastAsia="cs-CZ"/>
            </w:rPr>
          </w:pPr>
          <w:r>
            <w:rPr>
              <w:lang w:eastAsia="cs-CZ"/>
            </w:rPr>
          </w:r>
          <w:r>
            <w:rPr>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rPr>
              <w:b/>
              <w:bCs/>
            </w:rPr>
            <w:fldChar w:fldCharType="begin"/>
          </w:r>
          <w:r>
            <w:rPr>
              <w:b/>
              <w:bCs/>
            </w:rPr>
            <w:instrText xml:space="preserve"> TOC \o "1-3" \h \z \u </w:instrText>
          </w:r>
          <w:r>
            <w:rPr>
              <w:b/>
              <w:bCs/>
            </w:rPr>
            <w:fldChar w:fldCharType="separate"/>
          </w:r>
          <w:hyperlink w:tooltip="#_Toc195565186" w:anchor="_Toc195565186" w:history="1">
            <w:r>
              <w:rPr>
                <w:rStyle w:val="833"/>
                <w:b/>
              </w:rPr>
              <w:t xml:space="preserve">B.1</w:t>
            </w:r>
            <w:r>
              <w:rPr>
                <w:rFonts w:asciiTheme="minorHAnsi" w:hAnsiTheme="minorHAnsi" w:eastAsiaTheme="minorEastAsia"/>
                <w:sz w:val="22"/>
                <w:lang w:eastAsia="cs-CZ"/>
              </w:rPr>
              <w:tab/>
            </w:r>
            <w:r>
              <w:rPr>
                <w:rStyle w:val="833"/>
                <w:b/>
              </w:rPr>
              <w:t xml:space="preserve">Celkový popis území a stavby</w:t>
            </w:r>
            <w:r>
              <w:tab/>
            </w:r>
            <w:r>
              <w:fldChar w:fldCharType="begin"/>
            </w:r>
            <w:r>
              <w:instrText xml:space="preserve"> PAGEREF _Toc195565186 \h </w:instrText>
            </w:r>
            <w:r/>
            <w:r>
              <w:fldChar w:fldCharType="separate"/>
            </w:r>
            <w:r>
              <w:t xml:space="preserve">2</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187" w:anchor="_Toc195565187" w:history="1">
            <w:r>
              <w:rPr>
                <w:rStyle w:val="833"/>
                <w:b/>
              </w:rPr>
              <w:t xml:space="preserve">B.2</w:t>
            </w:r>
            <w:r>
              <w:rPr>
                <w:rFonts w:asciiTheme="minorHAnsi" w:hAnsiTheme="minorHAnsi" w:eastAsiaTheme="minorEastAsia"/>
                <w:sz w:val="22"/>
                <w:lang w:eastAsia="cs-CZ"/>
              </w:rPr>
              <w:tab/>
            </w:r>
            <w:r>
              <w:rPr>
                <w:rStyle w:val="833"/>
                <w:b/>
              </w:rPr>
              <w:t xml:space="preserve">Urbanistické a základní architektonické řešení</w:t>
            </w:r>
            <w:r>
              <w:tab/>
            </w:r>
            <w:r>
              <w:fldChar w:fldCharType="begin"/>
            </w:r>
            <w:r>
              <w:instrText xml:space="preserve"> PAGEREF _Toc195565187 \h </w:instrText>
            </w:r>
            <w:r/>
            <w:r>
              <w:fldChar w:fldCharType="separate"/>
            </w:r>
            <w:r>
              <w:t xml:space="preserve">7</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188" w:anchor="_Toc195565188" w:history="1">
            <w:r>
              <w:rPr>
                <w:rStyle w:val="833"/>
                <w:b/>
              </w:rPr>
              <w:t xml:space="preserve">B.3</w:t>
            </w:r>
            <w:r>
              <w:rPr>
                <w:rFonts w:asciiTheme="minorHAnsi" w:hAnsiTheme="minorHAnsi" w:eastAsiaTheme="minorEastAsia"/>
                <w:sz w:val="22"/>
                <w:lang w:eastAsia="cs-CZ"/>
              </w:rPr>
              <w:tab/>
            </w:r>
            <w:r>
              <w:rPr>
                <w:rStyle w:val="833"/>
                <w:b/>
              </w:rPr>
              <w:t xml:space="preserve">Základní stavebně technické a technologické řešení</w:t>
            </w:r>
            <w:r>
              <w:tab/>
            </w:r>
            <w:r>
              <w:fldChar w:fldCharType="begin"/>
            </w:r>
            <w:r>
              <w:instrText xml:space="preserve"> PAGEREF _Toc195565188 \h </w:instrText>
            </w:r>
            <w:r/>
            <w:r>
              <w:fldChar w:fldCharType="separate"/>
            </w:r>
            <w:r>
              <w:t xml:space="preserve">8</w:t>
            </w:r>
            <w:r>
              <w:fldChar w:fldCharType="end"/>
            </w:r>
          </w:hyperlink>
          <w:r/>
          <w:r>
            <w:rPr>
              <w:rFonts w:asciiTheme="minorHAnsi" w:hAnsiTheme="minorHAnsi" w:eastAsiaTheme="minorEastAsia"/>
              <w:sz w:val="22"/>
              <w:lang w:eastAsia="cs-CZ"/>
            </w:rPr>
          </w:r>
        </w:p>
        <w:p>
          <w:pPr>
            <w:pStyle w:val="832"/>
            <w:pBdr/>
            <w:tabs>
              <w:tab w:val="left" w:leader="none" w:pos="1100"/>
              <w:tab w:val="right" w:leader="dot" w:pos="9062"/>
            </w:tabs>
            <w:spacing/>
            <w:ind/>
            <w:rPr>
              <w:rFonts w:asciiTheme="minorHAnsi" w:hAnsiTheme="minorHAnsi" w:eastAsiaTheme="minorEastAsia"/>
              <w:sz w:val="22"/>
              <w:lang w:eastAsia="cs-CZ"/>
            </w:rPr>
          </w:pPr>
          <w:r/>
          <w:hyperlink w:tooltip="#_Toc195565189" w:anchor="_Toc195565189" w:history="1">
            <w:r>
              <w:rPr>
                <w:rStyle w:val="833"/>
                <w:b/>
              </w:rPr>
              <w:t xml:space="preserve">B.3.1</w:t>
            </w:r>
            <w:r>
              <w:rPr>
                <w:rFonts w:asciiTheme="minorHAnsi" w:hAnsiTheme="minorHAnsi" w:eastAsiaTheme="minorEastAsia"/>
                <w:sz w:val="22"/>
                <w:lang w:eastAsia="cs-CZ"/>
              </w:rPr>
              <w:tab/>
            </w:r>
            <w:r>
              <w:rPr>
                <w:rStyle w:val="833"/>
                <w:b/>
              </w:rPr>
              <w:t xml:space="preserve">Celková koncepce stavebně technického a technologického řešení</w:t>
            </w:r>
            <w:r>
              <w:tab/>
            </w:r>
            <w:r>
              <w:fldChar w:fldCharType="begin"/>
            </w:r>
            <w:r>
              <w:instrText xml:space="preserve"> PAGEREF _Toc195565189 \h </w:instrText>
            </w:r>
            <w:r/>
            <w:r>
              <w:fldChar w:fldCharType="separate"/>
            </w:r>
            <w:r>
              <w:t xml:space="preserve">8</w:t>
            </w:r>
            <w:r>
              <w:fldChar w:fldCharType="end"/>
            </w:r>
          </w:hyperlink>
          <w:r/>
          <w:r>
            <w:rPr>
              <w:rFonts w:asciiTheme="minorHAnsi" w:hAnsiTheme="minorHAnsi" w:eastAsiaTheme="minorEastAsia"/>
              <w:sz w:val="22"/>
              <w:lang w:eastAsia="cs-CZ"/>
            </w:rPr>
          </w:r>
        </w:p>
        <w:p>
          <w:pPr>
            <w:pStyle w:val="832"/>
            <w:pBdr/>
            <w:tabs>
              <w:tab w:val="left" w:leader="none" w:pos="1100"/>
              <w:tab w:val="right" w:leader="dot" w:pos="9062"/>
            </w:tabs>
            <w:spacing/>
            <w:ind/>
            <w:rPr>
              <w:rFonts w:asciiTheme="minorHAnsi" w:hAnsiTheme="minorHAnsi" w:eastAsiaTheme="minorEastAsia"/>
              <w:sz w:val="22"/>
              <w:lang w:eastAsia="cs-CZ"/>
            </w:rPr>
          </w:pPr>
          <w:r/>
          <w:hyperlink w:tooltip="#_Toc195565190" w:anchor="_Toc195565190" w:history="1">
            <w:r>
              <w:rPr>
                <w:rStyle w:val="833"/>
                <w:b/>
              </w:rPr>
              <w:t xml:space="preserve">B.3.2</w:t>
            </w:r>
            <w:r>
              <w:rPr>
                <w:rFonts w:asciiTheme="minorHAnsi" w:hAnsiTheme="minorHAnsi" w:eastAsiaTheme="minorEastAsia"/>
                <w:sz w:val="22"/>
                <w:lang w:eastAsia="cs-CZ"/>
              </w:rPr>
              <w:tab/>
            </w:r>
            <w:r>
              <w:rPr>
                <w:rStyle w:val="833"/>
                <w:b/>
              </w:rPr>
              <w:t xml:space="preserve">Zásady bezpečnosti při užívání stavby</w:t>
            </w:r>
            <w:r>
              <w:tab/>
            </w:r>
            <w:r>
              <w:fldChar w:fldCharType="begin"/>
            </w:r>
            <w:r>
              <w:instrText xml:space="preserve"> PAGEREF _Toc195565190 \h </w:instrText>
            </w:r>
            <w:r/>
            <w:r>
              <w:fldChar w:fldCharType="separate"/>
            </w:r>
            <w:r>
              <w:t xml:space="preserve">8</w:t>
            </w:r>
            <w:r>
              <w:fldChar w:fldCharType="end"/>
            </w:r>
          </w:hyperlink>
          <w:r/>
          <w:r>
            <w:rPr>
              <w:rFonts w:asciiTheme="minorHAnsi" w:hAnsiTheme="minorHAnsi" w:eastAsiaTheme="minorEastAsia"/>
              <w:sz w:val="22"/>
              <w:lang w:eastAsia="cs-CZ"/>
            </w:rPr>
          </w:r>
        </w:p>
        <w:p>
          <w:pPr>
            <w:pStyle w:val="832"/>
            <w:pBdr/>
            <w:tabs>
              <w:tab w:val="left" w:leader="none" w:pos="1100"/>
              <w:tab w:val="right" w:leader="dot" w:pos="9062"/>
            </w:tabs>
            <w:spacing/>
            <w:ind/>
            <w:rPr>
              <w:rFonts w:asciiTheme="minorHAnsi" w:hAnsiTheme="minorHAnsi" w:eastAsiaTheme="minorEastAsia"/>
              <w:sz w:val="22"/>
              <w:lang w:eastAsia="cs-CZ"/>
            </w:rPr>
          </w:pPr>
          <w:r/>
          <w:hyperlink w:tooltip="#_Toc195565191" w:anchor="_Toc195565191" w:history="1">
            <w:r>
              <w:rPr>
                <w:rStyle w:val="833"/>
                <w:b/>
              </w:rPr>
              <w:t xml:space="preserve">B.3.3</w:t>
            </w:r>
            <w:r>
              <w:rPr>
                <w:rFonts w:asciiTheme="minorHAnsi" w:hAnsiTheme="minorHAnsi" w:eastAsiaTheme="minorEastAsia"/>
                <w:sz w:val="22"/>
                <w:lang w:eastAsia="cs-CZ"/>
              </w:rPr>
              <w:tab/>
            </w:r>
            <w:r>
              <w:rPr>
                <w:rStyle w:val="833"/>
                <w:b/>
              </w:rPr>
              <w:t xml:space="preserve">Základní technický popis stavby</w:t>
            </w:r>
            <w:r>
              <w:tab/>
            </w:r>
            <w:r>
              <w:fldChar w:fldCharType="begin"/>
            </w:r>
            <w:r>
              <w:instrText xml:space="preserve"> PAGEREF _Toc195565191 \h </w:instrText>
            </w:r>
            <w:r/>
            <w:r>
              <w:fldChar w:fldCharType="separate"/>
            </w:r>
            <w:r>
              <w:t xml:space="preserve">8</w:t>
            </w:r>
            <w:r>
              <w:fldChar w:fldCharType="end"/>
            </w:r>
          </w:hyperlink>
          <w:r/>
          <w:r>
            <w:rPr>
              <w:rFonts w:asciiTheme="minorHAnsi" w:hAnsiTheme="minorHAnsi" w:eastAsiaTheme="minorEastAsia"/>
              <w:sz w:val="22"/>
              <w:lang w:eastAsia="cs-CZ"/>
            </w:rPr>
          </w:r>
        </w:p>
        <w:p>
          <w:pPr>
            <w:pStyle w:val="832"/>
            <w:pBdr/>
            <w:tabs>
              <w:tab w:val="left" w:leader="none" w:pos="1100"/>
              <w:tab w:val="right" w:leader="dot" w:pos="9062"/>
            </w:tabs>
            <w:spacing/>
            <w:ind/>
            <w:rPr>
              <w:rFonts w:asciiTheme="minorHAnsi" w:hAnsiTheme="minorHAnsi" w:eastAsiaTheme="minorEastAsia"/>
              <w:sz w:val="22"/>
              <w:lang w:eastAsia="cs-CZ"/>
            </w:rPr>
          </w:pPr>
          <w:r/>
          <w:hyperlink w:tooltip="#_Toc195565192" w:anchor="_Toc195565192" w:history="1">
            <w:r>
              <w:rPr>
                <w:rStyle w:val="833"/>
                <w:b/>
              </w:rPr>
              <w:t xml:space="preserve">B.3.4</w:t>
            </w:r>
            <w:r>
              <w:rPr>
                <w:rFonts w:asciiTheme="minorHAnsi" w:hAnsiTheme="minorHAnsi" w:eastAsiaTheme="minorEastAsia"/>
                <w:sz w:val="22"/>
                <w:lang w:eastAsia="cs-CZ"/>
              </w:rPr>
              <w:tab/>
            </w:r>
            <w:r>
              <w:rPr>
                <w:rStyle w:val="833"/>
                <w:b/>
              </w:rPr>
              <w:t xml:space="preserve">Technologické řešení – základní popis technických a technologických zařízení</w:t>
            </w:r>
            <w:r>
              <w:tab/>
            </w:r>
            <w:r>
              <w:fldChar w:fldCharType="begin"/>
            </w:r>
            <w:r>
              <w:instrText xml:space="preserve"> PAGEREF _Toc195565192 \h </w:instrText>
            </w:r>
            <w:r/>
            <w:r>
              <w:fldChar w:fldCharType="separate"/>
            </w:r>
            <w:r>
              <w:t xml:space="preserve">9</w:t>
            </w:r>
            <w:r>
              <w:fldChar w:fldCharType="end"/>
            </w:r>
          </w:hyperlink>
          <w:r/>
          <w:r>
            <w:rPr>
              <w:rFonts w:asciiTheme="minorHAnsi" w:hAnsiTheme="minorHAnsi" w:eastAsiaTheme="minorEastAsia"/>
              <w:sz w:val="22"/>
              <w:lang w:eastAsia="cs-CZ"/>
            </w:rPr>
          </w:r>
        </w:p>
        <w:p>
          <w:pPr>
            <w:pStyle w:val="832"/>
            <w:pBdr/>
            <w:tabs>
              <w:tab w:val="left" w:leader="none" w:pos="1100"/>
              <w:tab w:val="right" w:leader="dot" w:pos="9062"/>
            </w:tabs>
            <w:spacing/>
            <w:ind/>
            <w:rPr>
              <w:rFonts w:asciiTheme="minorHAnsi" w:hAnsiTheme="minorHAnsi" w:eastAsiaTheme="minorEastAsia"/>
              <w:sz w:val="22"/>
              <w:lang w:eastAsia="cs-CZ"/>
            </w:rPr>
          </w:pPr>
          <w:r/>
          <w:hyperlink w:tooltip="#_Toc195565193" w:anchor="_Toc195565193" w:history="1">
            <w:r>
              <w:rPr>
                <w:rStyle w:val="833"/>
                <w:b/>
              </w:rPr>
              <w:t xml:space="preserve">B.3.5</w:t>
            </w:r>
            <w:r>
              <w:rPr>
                <w:rFonts w:asciiTheme="minorHAnsi" w:hAnsiTheme="minorHAnsi" w:eastAsiaTheme="minorEastAsia"/>
                <w:sz w:val="22"/>
                <w:lang w:eastAsia="cs-CZ"/>
              </w:rPr>
              <w:tab/>
            </w:r>
            <w:r>
              <w:rPr>
                <w:rStyle w:val="833"/>
                <w:b/>
              </w:rPr>
              <w:t xml:space="preserve">Zásady požární bezpečnosti</w:t>
            </w:r>
            <w:r>
              <w:tab/>
            </w:r>
            <w:r>
              <w:fldChar w:fldCharType="begin"/>
            </w:r>
            <w:r>
              <w:instrText xml:space="preserve"> PAGEREF _Toc195565193 \h </w:instrText>
            </w:r>
            <w:r/>
            <w:r>
              <w:fldChar w:fldCharType="separate"/>
            </w:r>
            <w:r>
              <w:t xml:space="preserve">15</w:t>
            </w:r>
            <w:r>
              <w:fldChar w:fldCharType="end"/>
            </w:r>
          </w:hyperlink>
          <w:r/>
          <w:r>
            <w:rPr>
              <w:rFonts w:asciiTheme="minorHAnsi" w:hAnsiTheme="minorHAnsi" w:eastAsiaTheme="minorEastAsia"/>
              <w:sz w:val="22"/>
              <w:lang w:eastAsia="cs-CZ"/>
            </w:rPr>
          </w:r>
        </w:p>
        <w:p>
          <w:pPr>
            <w:pStyle w:val="832"/>
            <w:pBdr/>
            <w:tabs>
              <w:tab w:val="left" w:leader="none" w:pos="1100"/>
              <w:tab w:val="right" w:leader="dot" w:pos="9062"/>
            </w:tabs>
            <w:spacing/>
            <w:ind/>
            <w:rPr>
              <w:rFonts w:asciiTheme="minorHAnsi" w:hAnsiTheme="minorHAnsi" w:eastAsiaTheme="minorEastAsia"/>
              <w:sz w:val="22"/>
              <w:lang w:eastAsia="cs-CZ"/>
            </w:rPr>
          </w:pPr>
          <w:r/>
          <w:hyperlink w:tooltip="#_Toc195565194" w:anchor="_Toc195565194" w:history="1">
            <w:r>
              <w:rPr>
                <w:rStyle w:val="833"/>
                <w:b/>
              </w:rPr>
              <w:t xml:space="preserve">B.3.6</w:t>
            </w:r>
            <w:r>
              <w:rPr>
                <w:rFonts w:asciiTheme="minorHAnsi" w:hAnsiTheme="minorHAnsi" w:eastAsiaTheme="minorEastAsia"/>
                <w:sz w:val="22"/>
                <w:lang w:eastAsia="cs-CZ"/>
              </w:rPr>
              <w:tab/>
            </w:r>
            <w:r>
              <w:rPr>
                <w:rStyle w:val="833"/>
                <w:b/>
              </w:rPr>
              <w:t xml:space="preserve">Hygienické požadavky na stavbu, požadavky na pracovní a komunální prostředí</w:t>
            </w:r>
            <w:r>
              <w:tab/>
            </w:r>
            <w:r>
              <w:fldChar w:fldCharType="begin"/>
            </w:r>
            <w:r>
              <w:instrText xml:space="preserve"> PAGEREF _Toc195565194 \h </w:instrText>
            </w:r>
            <w:r/>
            <w:r>
              <w:fldChar w:fldCharType="separate"/>
            </w:r>
            <w:r>
              <w:t xml:space="preserve">16</w:t>
            </w:r>
            <w:r>
              <w:fldChar w:fldCharType="end"/>
            </w:r>
          </w:hyperlink>
          <w:r/>
          <w:r>
            <w:rPr>
              <w:rFonts w:asciiTheme="minorHAnsi" w:hAnsiTheme="minorHAnsi" w:eastAsiaTheme="minorEastAsia"/>
              <w:sz w:val="22"/>
              <w:lang w:eastAsia="cs-CZ"/>
            </w:rPr>
          </w:r>
        </w:p>
        <w:p>
          <w:pPr>
            <w:pStyle w:val="832"/>
            <w:pBdr/>
            <w:tabs>
              <w:tab w:val="left" w:leader="none" w:pos="1100"/>
              <w:tab w:val="right" w:leader="dot" w:pos="9062"/>
            </w:tabs>
            <w:spacing/>
            <w:ind/>
            <w:rPr>
              <w:rFonts w:asciiTheme="minorHAnsi" w:hAnsiTheme="minorHAnsi" w:eastAsiaTheme="minorEastAsia"/>
              <w:sz w:val="22"/>
              <w:lang w:eastAsia="cs-CZ"/>
            </w:rPr>
          </w:pPr>
          <w:r/>
          <w:hyperlink w:tooltip="#_Toc195565195" w:anchor="_Toc195565195" w:history="1">
            <w:r>
              <w:rPr>
                <w:rStyle w:val="833"/>
                <w:b/>
              </w:rPr>
              <w:t xml:space="preserve">B.3.7</w:t>
            </w:r>
            <w:r>
              <w:rPr>
                <w:rFonts w:asciiTheme="minorHAnsi" w:hAnsiTheme="minorHAnsi" w:eastAsiaTheme="minorEastAsia"/>
                <w:sz w:val="22"/>
                <w:lang w:eastAsia="cs-CZ"/>
              </w:rPr>
              <w:tab/>
            </w:r>
            <w:r>
              <w:rPr>
                <w:rStyle w:val="833"/>
                <w:b/>
              </w:rPr>
              <w:t xml:space="preserve">Zásady ochrany stavby před negativními účinky vnějšího prostředí</w:t>
            </w:r>
            <w:r>
              <w:tab/>
            </w:r>
            <w:r>
              <w:fldChar w:fldCharType="begin"/>
            </w:r>
            <w:r>
              <w:instrText xml:space="preserve"> PAGEREF _Toc195565195 \h </w:instrText>
            </w:r>
            <w:r/>
            <w:r>
              <w:fldChar w:fldCharType="separate"/>
            </w:r>
            <w:r>
              <w:t xml:space="preserve">16</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196" w:anchor="_Toc195565196" w:history="1">
            <w:r>
              <w:rPr>
                <w:rStyle w:val="833"/>
                <w:b/>
              </w:rPr>
              <w:t xml:space="preserve">B.4</w:t>
            </w:r>
            <w:r>
              <w:rPr>
                <w:rFonts w:asciiTheme="minorHAnsi" w:hAnsiTheme="minorHAnsi" w:eastAsiaTheme="minorEastAsia"/>
                <w:sz w:val="22"/>
                <w:lang w:eastAsia="cs-CZ"/>
              </w:rPr>
              <w:tab/>
            </w:r>
            <w:r>
              <w:rPr>
                <w:rStyle w:val="833"/>
                <w:b/>
              </w:rPr>
              <w:t xml:space="preserve">Připojení na technickou infrastrukturu</w:t>
            </w:r>
            <w:r>
              <w:tab/>
            </w:r>
            <w:r>
              <w:fldChar w:fldCharType="begin"/>
            </w:r>
            <w:r>
              <w:instrText xml:space="preserve"> PAGEREF _Toc195565196 \h </w:instrText>
            </w:r>
            <w:r/>
            <w:r>
              <w:fldChar w:fldCharType="separate"/>
            </w:r>
            <w:r>
              <w:t xml:space="preserve">16</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197" w:anchor="_Toc195565197" w:history="1">
            <w:r>
              <w:rPr>
                <w:rStyle w:val="833"/>
                <w:b/>
              </w:rPr>
              <w:t xml:space="preserve">B.5</w:t>
            </w:r>
            <w:r>
              <w:rPr>
                <w:rFonts w:asciiTheme="minorHAnsi" w:hAnsiTheme="minorHAnsi" w:eastAsiaTheme="minorEastAsia"/>
                <w:sz w:val="22"/>
                <w:lang w:eastAsia="cs-CZ"/>
              </w:rPr>
              <w:tab/>
            </w:r>
            <w:r>
              <w:rPr>
                <w:rStyle w:val="833"/>
                <w:b/>
              </w:rPr>
              <w:t xml:space="preserve">Dopravní řešení</w:t>
            </w:r>
            <w:r>
              <w:tab/>
            </w:r>
            <w:r>
              <w:fldChar w:fldCharType="begin"/>
            </w:r>
            <w:r>
              <w:instrText xml:space="preserve"> PAGEREF _Toc195565197 \h </w:instrText>
            </w:r>
            <w:r/>
            <w:r>
              <w:fldChar w:fldCharType="separate"/>
            </w:r>
            <w:r>
              <w:t xml:space="preserve">17</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198" w:anchor="_Toc195565198" w:history="1">
            <w:r>
              <w:rPr>
                <w:rStyle w:val="833"/>
                <w:b/>
              </w:rPr>
              <w:t xml:space="preserve">B.6</w:t>
            </w:r>
            <w:r>
              <w:rPr>
                <w:rFonts w:asciiTheme="minorHAnsi" w:hAnsiTheme="minorHAnsi" w:eastAsiaTheme="minorEastAsia"/>
                <w:sz w:val="22"/>
                <w:lang w:eastAsia="cs-CZ"/>
              </w:rPr>
              <w:tab/>
            </w:r>
            <w:r>
              <w:rPr>
                <w:rStyle w:val="833"/>
                <w:b/>
              </w:rPr>
              <w:t xml:space="preserve">Řešení vegetace a souvisejících terénních úprav</w:t>
            </w:r>
            <w:r>
              <w:tab/>
            </w:r>
            <w:r>
              <w:fldChar w:fldCharType="begin"/>
            </w:r>
            <w:r>
              <w:instrText xml:space="preserve"> PAGEREF _Toc195565198 \h </w:instrText>
            </w:r>
            <w:r/>
            <w:r>
              <w:fldChar w:fldCharType="separate"/>
            </w:r>
            <w:r>
              <w:t xml:space="preserve">17</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199" w:anchor="_Toc195565199" w:history="1">
            <w:r>
              <w:rPr>
                <w:rStyle w:val="833"/>
                <w:b/>
              </w:rPr>
              <w:t xml:space="preserve">B.7</w:t>
            </w:r>
            <w:r>
              <w:rPr>
                <w:rFonts w:asciiTheme="minorHAnsi" w:hAnsiTheme="minorHAnsi" w:eastAsiaTheme="minorEastAsia"/>
                <w:sz w:val="22"/>
                <w:lang w:eastAsia="cs-CZ"/>
              </w:rPr>
              <w:tab/>
            </w:r>
            <w:r>
              <w:rPr>
                <w:rStyle w:val="833"/>
                <w:b/>
              </w:rPr>
              <w:t xml:space="preserve">Popis vlivů stavby na životní prostředí a jeho ochrana</w:t>
            </w:r>
            <w:r>
              <w:tab/>
            </w:r>
            <w:r>
              <w:fldChar w:fldCharType="begin"/>
            </w:r>
            <w:r>
              <w:instrText xml:space="preserve"> PAGEREF _Toc195565199 \h </w:instrText>
            </w:r>
            <w:r/>
            <w:r>
              <w:fldChar w:fldCharType="separate"/>
            </w:r>
            <w:r>
              <w:t xml:space="preserve">17</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200" w:anchor="_Toc195565200" w:history="1">
            <w:r>
              <w:rPr>
                <w:rStyle w:val="833"/>
                <w:b/>
              </w:rPr>
              <w:t xml:space="preserve">B.8</w:t>
            </w:r>
            <w:r>
              <w:rPr>
                <w:rFonts w:asciiTheme="minorHAnsi" w:hAnsiTheme="minorHAnsi" w:eastAsiaTheme="minorEastAsia"/>
                <w:sz w:val="22"/>
                <w:lang w:eastAsia="cs-CZ"/>
              </w:rPr>
              <w:tab/>
            </w:r>
            <w:r>
              <w:rPr>
                <w:rStyle w:val="833"/>
                <w:b/>
              </w:rPr>
              <w:t xml:space="preserve">Celkové vodohospodářské řešení</w:t>
            </w:r>
            <w:r>
              <w:tab/>
            </w:r>
            <w:r>
              <w:fldChar w:fldCharType="begin"/>
            </w:r>
            <w:r>
              <w:instrText xml:space="preserve"> PAGEREF _Toc195565200 \h </w:instrText>
            </w:r>
            <w:r/>
            <w:r>
              <w:fldChar w:fldCharType="separate"/>
            </w:r>
            <w:r>
              <w:t xml:space="preserve">21</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201" w:anchor="_Toc195565201" w:history="1">
            <w:r>
              <w:rPr>
                <w:rStyle w:val="833"/>
                <w:b/>
              </w:rPr>
              <w:t xml:space="preserve">B.9</w:t>
            </w:r>
            <w:r>
              <w:rPr>
                <w:rFonts w:asciiTheme="minorHAnsi" w:hAnsiTheme="minorHAnsi" w:eastAsiaTheme="minorEastAsia"/>
                <w:sz w:val="22"/>
                <w:lang w:eastAsia="cs-CZ"/>
              </w:rPr>
              <w:tab/>
            </w:r>
            <w:r>
              <w:rPr>
                <w:rStyle w:val="833"/>
                <w:b/>
              </w:rPr>
              <w:t xml:space="preserve">Ochrana obyvatelstva</w:t>
            </w:r>
            <w:r>
              <w:tab/>
            </w:r>
            <w:r>
              <w:fldChar w:fldCharType="begin"/>
            </w:r>
            <w:r>
              <w:instrText xml:space="preserve"> PAGEREF _Toc195565201 \h </w:instrText>
            </w:r>
            <w:r/>
            <w:r>
              <w:fldChar w:fldCharType="separate"/>
            </w:r>
            <w:r>
              <w:t xml:space="preserve">21</w:t>
            </w:r>
            <w:r>
              <w:fldChar w:fldCharType="end"/>
            </w:r>
          </w:hyperlink>
          <w:r/>
          <w:r>
            <w:rPr>
              <w:rFonts w:asciiTheme="minorHAnsi" w:hAnsiTheme="minorHAnsi" w:eastAsiaTheme="minorEastAsia"/>
              <w:sz w:val="22"/>
              <w:lang w:eastAsia="cs-CZ"/>
            </w:rPr>
          </w:r>
        </w:p>
        <w:p>
          <w:pPr>
            <w:pStyle w:val="831"/>
            <w:pBdr/>
            <w:tabs>
              <w:tab w:val="left" w:leader="none" w:pos="660"/>
              <w:tab w:val="right" w:leader="dot" w:pos="9062"/>
            </w:tabs>
            <w:spacing/>
            <w:ind/>
            <w:rPr>
              <w:rFonts w:asciiTheme="minorHAnsi" w:hAnsiTheme="minorHAnsi" w:eastAsiaTheme="minorEastAsia"/>
              <w:sz w:val="22"/>
              <w:lang w:eastAsia="cs-CZ"/>
            </w:rPr>
          </w:pPr>
          <w:r/>
          <w:hyperlink w:tooltip="#_Toc195565202" w:anchor="_Toc195565202" w:history="1">
            <w:r>
              <w:rPr>
                <w:rStyle w:val="833"/>
                <w:b/>
              </w:rPr>
              <w:t xml:space="preserve">B.10</w:t>
            </w:r>
            <w:r>
              <w:rPr>
                <w:rFonts w:asciiTheme="minorHAnsi" w:hAnsiTheme="minorHAnsi" w:eastAsiaTheme="minorEastAsia"/>
                <w:sz w:val="22"/>
                <w:lang w:eastAsia="cs-CZ"/>
              </w:rPr>
              <w:tab/>
            </w:r>
            <w:r>
              <w:rPr>
                <w:rStyle w:val="833"/>
                <w:b/>
              </w:rPr>
              <w:t xml:space="preserve">Zásady organizace výstavby</w:t>
            </w:r>
            <w:r>
              <w:tab/>
            </w:r>
            <w:r>
              <w:fldChar w:fldCharType="begin"/>
            </w:r>
            <w:r>
              <w:instrText xml:space="preserve"> PAGEREF _Toc195565202 \h </w:instrText>
            </w:r>
            <w:r/>
            <w:r>
              <w:fldChar w:fldCharType="separate"/>
            </w:r>
            <w:r>
              <w:t xml:space="preserve">22</w:t>
            </w:r>
            <w:r>
              <w:fldChar w:fldCharType="end"/>
            </w:r>
          </w:hyperlink>
          <w:r/>
          <w:r>
            <w:rPr>
              <w:rFonts w:asciiTheme="minorHAnsi" w:hAnsiTheme="minorHAnsi" w:eastAsiaTheme="minorEastAsia"/>
              <w:sz w:val="22"/>
              <w:lang w:eastAsia="cs-CZ"/>
            </w:rPr>
          </w:r>
        </w:p>
        <w:p>
          <w:pPr>
            <w:pBdr/>
            <w:spacing/>
            <w:ind/>
            <w:rPr/>
          </w:pPr>
          <w:r>
            <w:rPr>
              <w:b/>
              <w:bCs/>
            </w:rPr>
            <w:fldChar w:fldCharType="end"/>
          </w:r>
          <w:r/>
        </w:p>
      </w:sdtContent>
    </w:sdt>
    <w:p>
      <w:pPr>
        <w:pBdr/>
        <w:spacing/>
        <w:ind/>
        <w:outlineLvl w:val="0"/>
        <w:rPr>
          <w:b/>
          <w:sz w:val="24"/>
        </w:rPr>
      </w:pPr>
      <w:r>
        <w:rPr>
          <w:b/>
          <w:sz w:val="24"/>
        </w:rPr>
      </w:r>
      <w:r>
        <w:rPr>
          <w:b/>
          <w:sz w:val="24"/>
        </w:rPr>
      </w:r>
    </w:p>
    <w:p>
      <w:pPr>
        <w:pBdr/>
        <w:spacing/>
        <w:ind/>
        <w:jc w:val="left"/>
        <w:rPr>
          <w:b/>
          <w:sz w:val="24"/>
        </w:rPr>
      </w:pPr>
      <w:r>
        <w:rPr>
          <w:b/>
          <w:sz w:val="24"/>
        </w:rPr>
        <w:br w:type="page" w:clear="all"/>
      </w:r>
      <w:r>
        <w:rPr>
          <w:b/>
          <w:sz w:val="24"/>
        </w:rPr>
      </w:r>
    </w:p>
    <w:p>
      <w:pPr>
        <w:pStyle w:val="825"/>
        <w:numPr>
          <w:ilvl w:val="0"/>
          <w:numId w:val="3"/>
        </w:numPr>
        <w:pBdr/>
        <w:spacing/>
        <w:ind/>
        <w:outlineLvl w:val="0"/>
        <w:rPr>
          <w:b/>
          <w:sz w:val="24"/>
        </w:rPr>
      </w:pPr>
      <w:r/>
      <w:bookmarkStart w:id="0" w:name="_Toc195565186"/>
      <w:r>
        <w:rPr>
          <w:b/>
          <w:sz w:val="24"/>
        </w:rPr>
        <w:t xml:space="preserve">Celkový popis území a stavby</w:t>
      </w:r>
      <w:bookmarkEnd w:id="0"/>
      <w:r/>
      <w:r>
        <w:rPr>
          <w:b/>
          <w:sz w:val="24"/>
        </w:rPr>
      </w:r>
    </w:p>
    <w:p>
      <w:pPr>
        <w:pStyle w:val="825"/>
        <w:numPr>
          <w:ilvl w:val="2"/>
          <w:numId w:val="16"/>
        </w:numPr>
        <w:pBdr/>
        <w:spacing/>
        <w:ind w:hanging="567" w:left="567"/>
        <w:rPr>
          <w:sz w:val="22"/>
          <w:u w:val="single"/>
        </w:rPr>
      </w:pPr>
      <w:r>
        <w:rPr>
          <w:sz w:val="22"/>
          <w:u w:val="single"/>
        </w:rPr>
        <w:t xml:space="preserve">základní popis stavby včetně koncepce řešení přístupnosti; u změny stavby údaje o jejím současném stavu, závěry stavebně technického, případně stavebně historického průzkumu a výsledky statické</w:t>
      </w:r>
      <w:r>
        <w:rPr>
          <w:sz w:val="22"/>
          <w:u w:val="single"/>
        </w:rPr>
        <w:t xml:space="preserve">ho posouzení nosných konstrukcí,</w:t>
      </w:r>
      <w:r>
        <w:rPr>
          <w:sz w:val="22"/>
          <w:u w:val="single"/>
        </w:rPr>
      </w:r>
    </w:p>
    <w:p>
      <w:pPr>
        <w:pBdr/>
        <w:spacing/>
        <w:ind w:firstLine="567"/>
        <w:rPr>
          <w:sz w:val="22"/>
          <w:szCs w:val="22"/>
          <w:highlight w:val="none"/>
        </w:rPr>
      </w:pPr>
      <w:r>
        <w:rPr>
          <w:sz w:val="22"/>
        </w:rPr>
        <w:t xml:space="preserve">Předmětem</w:t>
      </w:r>
      <w:r>
        <w:rPr>
          <w:sz w:val="22"/>
        </w:rPr>
        <w:t xml:space="preserve"> této projektové dokumentace je objekt </w:t>
      </w:r>
      <w:r>
        <w:rPr>
          <w:sz w:val="22"/>
        </w:rPr>
        <w:t xml:space="preserve">čistírny odpadních vod Třebotov. Objekt ČOV se nachází v obci Třebotov, </w:t>
      </w:r>
      <w:r>
        <w:rPr>
          <w:sz w:val="22"/>
        </w:rPr>
        <w:t xml:space="preserve">okres Praha – západ, kraj Středočeský, asi 18 km jihozápadně od centra Prahy a 4 km severozápadně od Černošice. </w:t>
      </w:r>
      <w:r>
        <w:rPr>
          <w:sz w:val="22"/>
        </w:rPr>
        <w:t xml:space="preserve">Stávající objekt ČOV slouží k čištění splaškových komunálních odpadních vod z obce Třebotov. </w:t>
      </w:r>
      <w:r>
        <w:rPr>
          <w:sz w:val="22"/>
        </w:rPr>
        <w:t xml:space="preserve">Podkladem pro tento st</w:t>
      </w:r>
      <w:r>
        <w:rPr>
          <w:sz w:val="22"/>
        </w:rPr>
        <w:t xml:space="preserve">upeň projektové dokumentace byla dokumentace pro sloučené povolení vypracována Ing. </w:t>
      </w:r>
      <w:r>
        <w:rPr>
          <w:sz w:val="22"/>
        </w:rPr>
        <w:t xml:space="preserve">Jodlem</w:t>
      </w:r>
      <w:r>
        <w:rPr>
          <w:sz w:val="22"/>
        </w:rPr>
        <w:t xml:space="preserve"> v r. 2020 a společné povolení vydané Městským úřadem Černošice v r. 2021 – spis. </w:t>
      </w:r>
      <w:r>
        <w:rPr>
          <w:sz w:val="22"/>
        </w:rPr>
        <w:t xml:space="preserve">značka</w:t>
      </w:r>
      <w:r>
        <w:rPr>
          <w:sz w:val="22"/>
        </w:rPr>
        <w:t xml:space="preserve"> S-MUCE 166663/2020 OZP/V/Steh, č. j. MUCE 220498/2021 OZP/V/Steh. </w:t>
      </w:r>
      <w:r>
        <w:rPr>
          <w:sz w:val="22"/>
        </w:rPr>
      </w:r>
    </w:p>
    <w:p>
      <w:pPr>
        <w:pBdr/>
        <w:spacing/>
        <w:ind w:firstLine="567"/>
        <w:rPr>
          <w:sz w:val="22"/>
          <w:szCs w:val="22"/>
        </w:rPr>
      </w:pPr>
      <w:r>
        <w:rPr>
          <w:sz w:val="22"/>
          <w:highlight w:val="none"/>
        </w:rPr>
      </w:r>
      <w:r>
        <w:rPr>
          <w:sz w:val="22"/>
          <w:highlight w:val="none"/>
        </w:rPr>
        <w:t xml:space="preserve">Předmětem projektu je intenzifikace ČOV Třebotov s cílem navýšit kapacitu ČOV na 2500 EO. Projekt je navržen tak, aby v maximální míře využil stávající objekty a částečně i strojní vybavení. Návrh byl založen na stejném principu čištění jako je stávající ČOV, tj. biologický stupe</w:t>
      </w:r>
      <w:r>
        <w:rPr>
          <w:sz w:val="22"/>
          <w:highlight w:val="none"/>
        </w:rPr>
        <w:t xml:space="preserve">ň s aktivovaným kalem v suspenzi a separací kalu v dosazovacích nádržích. </w:t>
      </w:r>
      <w:r>
        <w:rPr>
          <w:sz w:val="22"/>
          <w:highlight w:val="none"/>
        </w:rPr>
      </w:r>
    </w:p>
    <w:p>
      <w:pPr>
        <w:pBdr/>
        <w:spacing/>
        <w:ind/>
        <w:rPr>
          <w:b/>
          <w:sz w:val="22"/>
          <w:u w:val="single"/>
        </w:rPr>
      </w:pPr>
      <w:r>
        <w:rPr>
          <w:b/>
          <w:sz w:val="22"/>
          <w:u w:val="single"/>
        </w:rPr>
        <w:t xml:space="preserve">SO 01 </w:t>
      </w:r>
      <w:r>
        <w:rPr>
          <w:b/>
          <w:sz w:val="22"/>
          <w:u w:val="single"/>
        </w:rPr>
        <w:t xml:space="preserve">KALOLISOVNA</w:t>
      </w:r>
      <w:r>
        <w:rPr>
          <w:b/>
          <w:sz w:val="22"/>
          <w:u w:val="single"/>
        </w:rPr>
        <w:t xml:space="preserve"> </w:t>
      </w:r>
      <w:r>
        <w:rPr>
          <w:b/>
          <w:sz w:val="22"/>
          <w:u w:val="single"/>
        </w:rPr>
      </w:r>
    </w:p>
    <w:p>
      <w:pPr>
        <w:pBdr/>
        <w:spacing/>
        <w:ind w:firstLine="708"/>
        <w:rPr>
          <w:sz w:val="22"/>
        </w:rPr>
      </w:pPr>
      <w:r>
        <w:rPr>
          <w:sz w:val="22"/>
        </w:rPr>
        <w:t xml:space="preserve">Nově navržený objekt </w:t>
      </w:r>
      <w:r>
        <w:rPr>
          <w:sz w:val="22"/>
        </w:rPr>
        <w:t xml:space="preserve">kalolisovny</w:t>
      </w:r>
      <w:r>
        <w:rPr>
          <w:sz w:val="22"/>
        </w:rPr>
        <w:t xml:space="preserve"> je o půdorysných rozměrech 6,8 x 4,1 m s přístřeškem pro kontejner 5,0 x 4,1m. Objekt bude zastřešen jednotně, sedlová střecha sklonu 40st. </w:t>
      </w:r>
      <w:r>
        <w:rPr>
          <w:sz w:val="22"/>
        </w:rPr>
        <w:t xml:space="preserve">s krytinou z betonové máčené tašky, barva červená. Nově vybudovaná plocha pro kontejner vč. podlahy v </w:t>
      </w:r>
      <w:r>
        <w:rPr>
          <w:sz w:val="22"/>
        </w:rPr>
        <w:t xml:space="preserve">kalolisovně</w:t>
      </w:r>
      <w:r>
        <w:rPr>
          <w:sz w:val="22"/>
        </w:rPr>
        <w:t xml:space="preserve"> budou odvodněny do objektu ČOV. V objektu </w:t>
      </w:r>
      <w:r>
        <w:rPr>
          <w:sz w:val="22"/>
        </w:rPr>
        <w:t xml:space="preserve">kalolisovny</w:t>
      </w:r>
      <w:r>
        <w:rPr>
          <w:sz w:val="22"/>
        </w:rPr>
        <w:t xml:space="preserve"> bude osazena kohout pitné vody s hadicí pro ostřik zařízení kalolisu. </w:t>
      </w:r>
      <w:r>
        <w:rPr>
          <w:sz w:val="22"/>
        </w:rPr>
      </w:r>
    </w:p>
    <w:p>
      <w:pPr>
        <w:pBdr/>
        <w:spacing/>
        <w:ind/>
        <w:rPr>
          <w:b/>
          <w:sz w:val="22"/>
          <w:u w:val="single"/>
        </w:rPr>
      </w:pPr>
      <w:r>
        <w:rPr>
          <w:b/>
          <w:sz w:val="22"/>
          <w:u w:val="single"/>
        </w:rPr>
        <w:t xml:space="preserve">SO 02</w:t>
      </w:r>
      <w:r>
        <w:rPr>
          <w:b/>
          <w:sz w:val="22"/>
          <w:u w:val="single"/>
        </w:rPr>
        <w:t xml:space="preserve"> </w:t>
      </w:r>
      <w:r>
        <w:rPr>
          <w:b/>
          <w:sz w:val="22"/>
          <w:u w:val="single"/>
        </w:rPr>
        <w:t xml:space="preserve">NOVÁ BUDOVA ČOV </w:t>
      </w:r>
      <w:r>
        <w:rPr>
          <w:b/>
          <w:sz w:val="22"/>
          <w:u w:val="single"/>
        </w:rPr>
      </w:r>
    </w:p>
    <w:p>
      <w:pPr>
        <w:pBdr/>
        <w:spacing/>
        <w:ind w:firstLine="708"/>
        <w:rPr>
          <w:sz w:val="22"/>
        </w:rPr>
      </w:pPr>
      <w:r>
        <w:rPr>
          <w:sz w:val="22"/>
        </w:rPr>
        <w:t xml:space="preserve">Nově navržená budova ČOV bude aktivací s vnořenými dosazováky. Aktivace je navržena </w:t>
      </w:r>
      <w:r>
        <w:rPr>
          <w:sz w:val="22"/>
        </w:rPr>
        <w:t xml:space="preserve">mikrobublinnou</w:t>
      </w:r>
      <w:r>
        <w:rPr>
          <w:sz w:val="22"/>
        </w:rPr>
        <w:t xml:space="preserve"> </w:t>
      </w:r>
      <w:r>
        <w:rPr>
          <w:sz w:val="22"/>
        </w:rPr>
        <w:t xml:space="preserve">areací</w:t>
      </w:r>
      <w:r>
        <w:rPr>
          <w:sz w:val="22"/>
        </w:rPr>
        <w:t xml:space="preserve">. Nad vanou objektu ČOV bude na ŽB desce osazeno zařízení </w:t>
      </w:r>
      <w:r>
        <w:rPr>
          <w:sz w:val="22"/>
        </w:rPr>
        <w:t xml:space="preserve">dmychárny</w:t>
      </w:r>
      <w:r>
        <w:rPr>
          <w:sz w:val="22"/>
        </w:rPr>
        <w:t xml:space="preserve"> v samostatné místnosti. Aktivace bude opatřena zákrytovým objektem o výšce stěn 2500 mm a sedlovou střechou o sklonu 40st. s krytinou z betonové tašky máčené, barva červená. </w:t>
      </w:r>
      <w:r>
        <w:rPr>
          <w:sz w:val="22"/>
        </w:rPr>
      </w:r>
    </w:p>
    <w:p>
      <w:pPr>
        <w:pBdr/>
        <w:spacing/>
        <w:ind/>
        <w:rPr>
          <w:b/>
          <w:sz w:val="22"/>
          <w:u w:val="single"/>
        </w:rPr>
      </w:pPr>
      <w:r>
        <w:rPr>
          <w:b/>
          <w:sz w:val="22"/>
          <w:u w:val="single"/>
        </w:rPr>
        <w:t xml:space="preserve">SO 03</w:t>
      </w:r>
      <w:r>
        <w:rPr>
          <w:b/>
          <w:sz w:val="22"/>
          <w:u w:val="single"/>
        </w:rPr>
        <w:t xml:space="preserve"> </w:t>
      </w:r>
      <w:r>
        <w:rPr>
          <w:b/>
          <w:sz w:val="22"/>
          <w:u w:val="single"/>
        </w:rPr>
        <w:t xml:space="preserve">OPLOCENÍ, ZPEVNĚNÉ PLOCHY A TERÉNNÍ ÚPRAVY </w:t>
      </w:r>
      <w:r>
        <w:rPr>
          <w:b/>
          <w:sz w:val="22"/>
          <w:u w:val="single"/>
        </w:rPr>
      </w:r>
    </w:p>
    <w:p>
      <w:pPr>
        <w:pBdr/>
        <w:spacing/>
        <w:ind w:firstLine="708"/>
        <w:rPr>
          <w:sz w:val="22"/>
        </w:rPr>
      </w:pPr>
      <w:r>
        <w:rPr>
          <w:sz w:val="22"/>
        </w:rPr>
        <w:t xml:space="preserve">Z důvodu stávajícího vedení VVN západně a severně od objektu ČOV bude nutno vybudovat nekovové oplocení – oplocení bude dřevěné na betonové podezdívce, </w:t>
      </w:r>
      <w:r>
        <w:rPr>
          <w:sz w:val="22"/>
        </w:rPr>
        <w:t xml:space="preserve">celk</w:t>
      </w:r>
      <w:r>
        <w:rPr>
          <w:sz w:val="22"/>
        </w:rPr>
        <w:t xml:space="preserve">. délka je 25,1m. Objekt ČOV zasahuje do ochranného pásma vedení. </w:t>
      </w:r>
      <w:r>
        <w:rPr>
          <w:sz w:val="22"/>
        </w:rPr>
      </w:r>
    </w:p>
    <w:p>
      <w:pPr>
        <w:pBdr/>
        <w:spacing/>
        <w:ind w:firstLine="708"/>
        <w:rPr>
          <w:sz w:val="22"/>
        </w:rPr>
      </w:pPr>
      <w:r>
        <w:rPr>
          <w:sz w:val="22"/>
        </w:rPr>
        <w:t xml:space="preserve">Zbytek navrženého oplocení jižně a východně od objektu ČOV bude běžného typu – </w:t>
      </w:r>
      <w:r>
        <w:rPr>
          <w:sz w:val="22"/>
        </w:rPr>
        <w:t xml:space="preserve">poplastované</w:t>
      </w:r>
      <w:r>
        <w:rPr>
          <w:sz w:val="22"/>
        </w:rPr>
        <w:t xml:space="preserve"> pletivo, ocelové sloupky, </w:t>
      </w:r>
      <w:r>
        <w:rPr>
          <w:sz w:val="22"/>
        </w:rPr>
        <w:t xml:space="preserve">podhrabová</w:t>
      </w:r>
      <w:r>
        <w:rPr>
          <w:sz w:val="22"/>
        </w:rPr>
        <w:t xml:space="preserve"> deska. </w:t>
      </w:r>
      <w:r>
        <w:rPr>
          <w:sz w:val="22"/>
        </w:rPr>
        <w:t xml:space="preserve">Celk</w:t>
      </w:r>
      <w:r>
        <w:rPr>
          <w:sz w:val="22"/>
        </w:rPr>
        <w:t xml:space="preserve">. délka je 44,93m. </w:t>
      </w:r>
      <w:r>
        <w:rPr>
          <w:sz w:val="22"/>
        </w:rPr>
      </w:r>
    </w:p>
    <w:p>
      <w:pPr>
        <w:pBdr/>
        <w:spacing/>
        <w:ind w:firstLine="708"/>
        <w:rPr>
          <w:sz w:val="22"/>
        </w:rPr>
      </w:pPr>
      <w:r>
        <w:rPr>
          <w:sz w:val="22"/>
        </w:rPr>
        <w:t xml:space="preserve">K nově navrženému objektu ČOV bude vybudován přístupový chodník. Chodník bude řešen zámkovou dlažbou </w:t>
      </w:r>
      <w:r>
        <w:rPr>
          <w:sz w:val="22"/>
        </w:rPr>
        <w:t xml:space="preserve">tl</w:t>
      </w:r>
      <w:r>
        <w:rPr>
          <w:sz w:val="22"/>
        </w:rPr>
        <w:t xml:space="preserve">. 60 mm, dlažba bude pokládána do kladecí vrstvy 30mm, která bude na podkladové vrstvě že </w:t>
      </w:r>
      <w:r>
        <w:rPr>
          <w:sz w:val="22"/>
        </w:rPr>
        <w:t xml:space="preserve">štěrkodrti</w:t>
      </w:r>
      <w:r>
        <w:rPr>
          <w:sz w:val="22"/>
        </w:rPr>
        <w:t xml:space="preserve"> 0-63. Zámková dlažba bude vkládána do zahradních obrub 50/200/1000. </w:t>
      </w:r>
      <w:r>
        <w:rPr>
          <w:sz w:val="22"/>
        </w:rPr>
      </w:r>
    </w:p>
    <w:p>
      <w:pPr>
        <w:pBdr/>
        <w:tabs>
          <w:tab w:val="left" w:leader="none" w:pos="1466"/>
        </w:tabs>
        <w:spacing/>
        <w:ind w:firstLine="708"/>
        <w:rPr>
          <w:sz w:val="22"/>
          <w:szCs w:val="22"/>
          <w:highlight w:val="none"/>
        </w:rPr>
      </w:pPr>
      <w:r>
        <w:rPr>
          <w:sz w:val="22"/>
        </w:rPr>
        <w:t xml:space="preserve">Terénní úpravy budou spočívat ve vybudování náspu – zarovnání terénu podél nově navržené nádrže ČOV. Terénní úpravy budou řešeny výkopkem </w:t>
      </w:r>
      <w:r>
        <w:rPr>
          <w:sz w:val="22"/>
        </w:rPr>
        <w:t xml:space="preserve">získaným během zemních prací při výstavby objektu ČOV. Sklony svahu budou proměnlivé, 1:2 – 1:3. Svah bude urovnán a </w:t>
      </w:r>
      <w:r>
        <w:rPr>
          <w:sz w:val="22"/>
        </w:rPr>
        <w:t xml:space="preserve">ohumusován</w:t>
      </w:r>
      <w:r>
        <w:rPr>
          <w:sz w:val="22"/>
        </w:rPr>
        <w:t xml:space="preserve">, </w:t>
      </w:r>
      <w:r>
        <w:rPr>
          <w:sz w:val="22"/>
        </w:rPr>
        <w:t xml:space="preserve">tl</w:t>
      </w:r>
      <w:r>
        <w:rPr>
          <w:sz w:val="22"/>
        </w:rPr>
        <w:t xml:space="preserve">. 150 mm orničních, event. Podorničních vrstev a následné osetí travním semenem. </w:t>
      </w:r>
      <w:r>
        <w:rPr>
          <w:sz w:val="22"/>
        </w:rPr>
        <w:tab/>
      </w:r>
      <w:r>
        <w:rPr>
          <w:sz w:val="22"/>
        </w:rPr>
      </w:r>
    </w:p>
    <w:p>
      <w:pPr>
        <w:pBdr/>
        <w:tabs>
          <w:tab w:val="left" w:leader="none" w:pos="1466"/>
        </w:tabs>
        <w:spacing/>
        <w:ind w:firstLine="708"/>
        <w:rPr>
          <w:sz w:val="22"/>
          <w:szCs w:val="22"/>
        </w:rPr>
      </w:pPr>
      <w:r>
        <w:rPr>
          <w:sz w:val="22"/>
          <w:highlight w:val="none"/>
        </w:rPr>
      </w:r>
      <w:r>
        <w:rPr>
          <w:sz w:val="22"/>
          <w:highlight w:val="none"/>
        </w:rPr>
      </w:r>
      <w:r>
        <w:rPr>
          <w:sz w:val="22"/>
          <w:highlight w:val="none"/>
        </w:rPr>
      </w:r>
    </w:p>
    <w:p>
      <w:pPr>
        <w:pBdr/>
        <w:spacing/>
        <w:ind/>
        <w:rPr>
          <w:b/>
          <w:sz w:val="22"/>
          <w:u w:val="single"/>
        </w:rPr>
      </w:pPr>
      <w:r>
        <w:rPr>
          <w:b/>
          <w:sz w:val="22"/>
          <w:u w:val="single"/>
        </w:rPr>
        <w:t xml:space="preserve">SO 04</w:t>
      </w:r>
      <w:r>
        <w:rPr>
          <w:b/>
          <w:sz w:val="22"/>
          <w:u w:val="single"/>
        </w:rPr>
        <w:t xml:space="preserve"> </w:t>
      </w:r>
      <w:r>
        <w:rPr>
          <w:b/>
          <w:sz w:val="22"/>
          <w:u w:val="single"/>
        </w:rPr>
        <w:t xml:space="preserve">STÁVAJÍCÍ ČOV </w:t>
      </w:r>
      <w:r>
        <w:rPr>
          <w:b/>
          <w:sz w:val="22"/>
          <w:u w:val="single"/>
        </w:rPr>
      </w:r>
    </w:p>
    <w:p>
      <w:pPr>
        <w:pBdr/>
        <w:spacing/>
        <w:ind/>
        <w:rPr>
          <w:sz w:val="22"/>
        </w:rPr>
      </w:pPr>
      <w:r>
        <w:rPr>
          <w:sz w:val="22"/>
        </w:rPr>
        <w:t xml:space="preserve">Stávající objekt ČOV bude během stavebních prací stavebně upraven. Po převedení do provozu čištění do nového objektu ČOV </w:t>
      </w:r>
      <w:r>
        <w:rPr>
          <w:sz w:val="22"/>
        </w:rPr>
        <w:t xml:space="preserve">bude</w:t>
      </w:r>
      <w:r>
        <w:rPr>
          <w:sz w:val="22"/>
        </w:rPr>
        <w:t xml:space="preserve"> stávající </w:t>
      </w:r>
      <w:r>
        <w:rPr>
          <w:sz w:val="22"/>
        </w:rPr>
        <w:t xml:space="preserve">budou</w:t>
      </w:r>
      <w:r>
        <w:rPr>
          <w:sz w:val="22"/>
        </w:rPr>
        <w:t xml:space="preserve"> stavebně upravena tak, aby došlo k vyhovění požadavkům na rozdílné využití jak podzemních, tak nadzemních prostor objektu. V nadzemní části objektu bude provedeno zazdění dveřního otvoru </w:t>
      </w:r>
      <w:r>
        <w:rPr>
          <w:sz w:val="22"/>
        </w:rPr>
        <w:t xml:space="preserve">velína</w:t>
      </w:r>
      <w:r>
        <w:rPr>
          <w:sz w:val="22"/>
        </w:rPr>
        <w:t xml:space="preserve"> a dojde k vybudování nového vstupu z venkovních prostor. Ve stávajících nádržích a stropních </w:t>
      </w:r>
      <w:r>
        <w:rPr>
          <w:sz w:val="22"/>
        </w:rPr>
        <w:t xml:space="preserve">deskách budou vybourány nové otvory technologických prostupů – viz tabulka prostupů a příslušné výkresy. </w:t>
      </w:r>
      <w:r>
        <w:rPr>
          <w:sz w:val="22"/>
        </w:rPr>
      </w:r>
    </w:p>
    <w:p>
      <w:pPr>
        <w:pStyle w:val="825"/>
        <w:numPr>
          <w:ilvl w:val="2"/>
          <w:numId w:val="16"/>
        </w:numPr>
        <w:pBdr/>
        <w:spacing/>
        <w:ind w:hanging="567" w:left="567"/>
        <w:rPr>
          <w:sz w:val="22"/>
          <w:u w:val="single"/>
        </w:rPr>
      </w:pPr>
      <w:r>
        <w:rPr>
          <w:sz w:val="22"/>
          <w:u w:val="single"/>
        </w:rPr>
        <w:t xml:space="preserve">charakteristika území a stavebního pozemku, dosavadní využití a zastavěnost území, poloha vzhledem k záplavovému území, poddolovanému území apod.,</w:t>
      </w:r>
      <w:r>
        <w:rPr>
          <w:sz w:val="22"/>
          <w:u w:val="single"/>
        </w:rPr>
      </w:r>
    </w:p>
    <w:p>
      <w:pPr>
        <w:pBdr/>
        <w:spacing/>
        <w:ind w:firstLine="567"/>
        <w:rPr>
          <w:sz w:val="22"/>
        </w:rPr>
      </w:pPr>
      <w:r>
        <w:rPr>
          <w:sz w:val="22"/>
        </w:rPr>
        <w:t xml:space="preserve">Řešené objekty jsou umístěny </w:t>
      </w:r>
      <w:r>
        <w:rPr>
          <w:sz w:val="22"/>
        </w:rPr>
        <w:t xml:space="preserve">v obci Třebotov</w:t>
      </w:r>
      <w:r>
        <w:rPr>
          <w:sz w:val="22"/>
        </w:rPr>
        <w:t xml:space="preserve"> v nezastavěném území. Objekty se nacházejí mimo záplavové a poddolované území. </w:t>
      </w:r>
      <w:r>
        <w:rPr>
          <w:sz w:val="22"/>
        </w:rPr>
      </w:r>
    </w:p>
    <w:p>
      <w:pPr>
        <w:pStyle w:val="825"/>
        <w:numPr>
          <w:ilvl w:val="2"/>
          <w:numId w:val="16"/>
        </w:numPr>
        <w:pBdr/>
        <w:spacing/>
        <w:ind w:hanging="567" w:left="567"/>
        <w:rPr>
          <w:sz w:val="22"/>
          <w:u w:val="single"/>
        </w:rPr>
      </w:pPr>
      <w:r>
        <w:rPr>
          <w:sz w:val="22"/>
          <w:u w:val="single"/>
        </w:rPr>
        <w:t xml:space="preserve">údaje o souladu stavby s územně plánovací dokumentací a územními opatřeními nebo s cíli a úkoly územního plánování, a s požadavky na ochranu kulturně historických, architektonických, archeologických a urbanistických hodnot v území,</w:t>
      </w:r>
      <w:r>
        <w:rPr>
          <w:sz w:val="22"/>
          <w:u w:val="single"/>
        </w:rPr>
      </w:r>
    </w:p>
    <w:p>
      <w:pPr>
        <w:pBdr/>
        <w:spacing/>
        <w:ind w:firstLine="567"/>
        <w:rPr>
          <w:sz w:val="22"/>
        </w:rPr>
      </w:pPr>
      <w:r>
        <w:rPr>
          <w:sz w:val="22"/>
        </w:rPr>
        <w:t xml:space="preserve">Dokumentace je v souladu s územně plánovací dokumentací. </w:t>
      </w:r>
      <w:r>
        <w:rPr>
          <w:sz w:val="22"/>
        </w:rPr>
      </w:r>
    </w:p>
    <w:p>
      <w:pPr>
        <w:pStyle w:val="825"/>
        <w:numPr>
          <w:ilvl w:val="2"/>
          <w:numId w:val="16"/>
        </w:numPr>
        <w:pBdr/>
        <w:spacing/>
        <w:ind w:hanging="567" w:left="567"/>
        <w:rPr>
          <w:sz w:val="22"/>
          <w:u w:val="single"/>
        </w:rPr>
      </w:pPr>
      <w:r>
        <w:rPr>
          <w:sz w:val="22"/>
          <w:u w:val="single"/>
        </w:rPr>
        <w:t xml:space="preserve">výčet a závěry průzkumů,</w:t>
      </w:r>
      <w:r>
        <w:rPr>
          <w:sz w:val="22"/>
          <w:u w:val="single"/>
        </w:rPr>
      </w:r>
    </w:p>
    <w:p>
      <w:pPr>
        <w:pBdr/>
        <w:spacing/>
        <w:ind w:firstLine="567"/>
        <w:rPr>
          <w:sz w:val="22"/>
        </w:rPr>
      </w:pPr>
      <w:r>
        <w:rPr>
          <w:sz w:val="22"/>
        </w:rPr>
        <w:t xml:space="preserve">Pro účely této projektové dokumentace</w:t>
      </w:r>
      <w:r>
        <w:rPr>
          <w:sz w:val="22"/>
        </w:rPr>
        <w:t xml:space="preserve"> bylo projek</w:t>
      </w:r>
      <w:r>
        <w:rPr>
          <w:sz w:val="22"/>
        </w:rPr>
        <w:t xml:space="preserve">tantem provedeno místní šetření. Geodetické zaměření objektu bylo převzato z předchozího stupně projektové dokumentace – dokumentace pro sloučení povolení (DSP). </w:t>
      </w:r>
      <w:r>
        <w:rPr>
          <w:sz w:val="22"/>
        </w:rPr>
      </w:r>
    </w:p>
    <w:p>
      <w:pPr>
        <w:pBdr/>
        <w:spacing/>
        <w:ind w:firstLine="567"/>
        <w:rPr>
          <w:sz w:val="22"/>
        </w:rPr>
      </w:pPr>
      <w:r>
        <w:rPr>
          <w:sz w:val="22"/>
        </w:rPr>
        <w:t xml:space="preserve">Podkladem pro předchozí stupeň PD byl i geologický průzkum – průzkum byl proveden formou penet</w:t>
      </w:r>
      <w:r>
        <w:rPr>
          <w:sz w:val="22"/>
        </w:rPr>
        <w:t xml:space="preserve">race. Skalní podloží se nachází v hloubce cca 3,5 m pod úrovní terénu u hrany svahu (náspu objektu ČOV). Jedná se především o skalní horniny tvořené silurskými a devonskými vápenci či vápnitými břidlicemi, třída těžitelnosti 6. Povrch skalního podkladu je </w:t>
      </w:r>
      <w:r>
        <w:rPr>
          <w:sz w:val="22"/>
        </w:rPr>
        <w:t xml:space="preserve">navětralý</w:t>
      </w:r>
      <w:r>
        <w:rPr>
          <w:sz w:val="22"/>
        </w:rPr>
        <w:t xml:space="preserve">, skála je vrstevnatá. </w:t>
      </w:r>
      <w:r>
        <w:rPr>
          <w:sz w:val="22"/>
        </w:rPr>
      </w:r>
    </w:p>
    <w:p>
      <w:pPr>
        <w:pBdr/>
        <w:spacing/>
        <w:ind w:firstLine="567"/>
        <w:rPr>
          <w:sz w:val="22"/>
        </w:rPr>
      </w:pPr>
      <w:r>
        <w:rPr>
          <w:sz w:val="22"/>
        </w:rPr>
        <w:t xml:space="preserve">Podzemní voda během průzkumu nebyla zastižena, nepředpokládá se výskyt trvalé </w:t>
      </w:r>
      <w:r>
        <w:rPr>
          <w:sz w:val="22"/>
        </w:rPr>
        <w:t xml:space="preserve">zvodně</w:t>
      </w:r>
      <w:r>
        <w:rPr>
          <w:sz w:val="22"/>
        </w:rPr>
        <w:t xml:space="preserve">. Sezónní výskyt podzemní vody je pravděpodobný během jarního období a může být likvidovány dle potřeby přečerpáním do odtokové čerpací jímky vyčištěné vody. </w:t>
      </w:r>
      <w:r>
        <w:rPr>
          <w:sz w:val="22"/>
        </w:rPr>
      </w:r>
    </w:p>
    <w:p>
      <w:pPr>
        <w:pStyle w:val="825"/>
        <w:numPr>
          <w:ilvl w:val="2"/>
          <w:numId w:val="16"/>
        </w:numPr>
        <w:pBdr/>
        <w:spacing/>
        <w:ind w:hanging="567" w:left="567"/>
        <w:rPr>
          <w:sz w:val="22"/>
        </w:rPr>
      </w:pPr>
      <w:r>
        <w:rPr>
          <w:sz w:val="22"/>
          <w:u w:val="single"/>
        </w:rPr>
        <w:t xml:space="preserve">informace o nutnosti povolení výjimky z požadavků na výstavbu</w:t>
      </w:r>
      <w:r>
        <w:rPr>
          <w:sz w:val="22"/>
        </w:rPr>
        <w:t xml:space="preserve">,</w:t>
      </w:r>
      <w:r>
        <w:rPr>
          <w:sz w:val="22"/>
        </w:rPr>
      </w:r>
    </w:p>
    <w:p>
      <w:pPr>
        <w:pBdr/>
        <w:spacing/>
        <w:ind w:firstLine="567"/>
        <w:rPr>
          <w:sz w:val="22"/>
        </w:rPr>
      </w:pPr>
      <w:r>
        <w:rPr>
          <w:sz w:val="22"/>
        </w:rPr>
        <w:t xml:space="preserve">Nemění se. </w:t>
      </w:r>
      <w:r>
        <w:rPr>
          <w:sz w:val="22"/>
        </w:rPr>
      </w:r>
    </w:p>
    <w:p>
      <w:pPr>
        <w:pStyle w:val="825"/>
        <w:numPr>
          <w:ilvl w:val="2"/>
          <w:numId w:val="16"/>
        </w:numPr>
        <w:pBdr/>
        <w:spacing/>
        <w:ind w:hanging="567" w:left="567"/>
        <w:rPr>
          <w:sz w:val="22"/>
          <w:u w:val="single"/>
        </w:rPr>
      </w:pPr>
      <w:r>
        <w:rPr>
          <w:sz w:val="22"/>
          <w:u w:val="single"/>
        </w:rPr>
        <w:t xml:space="preserve">stávající ochrana území a stavby podle jiných právních předpisů, včetně rozsahu omezení a podmínek pro ochranu,</w:t>
      </w:r>
      <w:r>
        <w:rPr>
          <w:sz w:val="22"/>
          <w:u w:val="single"/>
        </w:rPr>
      </w:r>
    </w:p>
    <w:p>
      <w:pPr>
        <w:pBdr/>
        <w:spacing/>
        <w:ind w:firstLine="567"/>
        <w:rPr>
          <w:sz w:val="22"/>
        </w:rPr>
      </w:pPr>
      <w:r>
        <w:rPr>
          <w:sz w:val="22"/>
        </w:rPr>
        <w:t xml:space="preserve">Stávající objekt ČOV má vyhlášeno ochranné pásmo. Ochranné pásmo bude zachováno, rozšířeno o nově navržené budovy. Nově navržený objekt ČOV zasahuje do ochranného pásma VVN 110 </w:t>
      </w:r>
      <w:r>
        <w:rPr>
          <w:sz w:val="22"/>
        </w:rPr>
        <w:t xml:space="preserve">kV</w:t>
      </w:r>
      <w:r>
        <w:rPr>
          <w:sz w:val="22"/>
        </w:rPr>
        <w:t xml:space="preserve"> (ČEZ). Před zahájením</w:t>
      </w:r>
      <w:r>
        <w:rPr>
          <w:sz w:val="22"/>
        </w:rPr>
        <w:t xml:space="preserve"> projektových prací předchozího stupně projektové dokumentace bylo vedení VVN geodeticky zaměřeno, zakresleno v relaci s návrhem objektu ČOV a zasláno k vyjádření provozovateli – ČEZ. Provozovatel souhlasil s umístěním stavby v ochranném pásmu vedení VVN. </w:t>
      </w:r>
      <w:r>
        <w:rPr>
          <w:sz w:val="22"/>
        </w:rPr>
      </w:r>
    </w:p>
    <w:p>
      <w:pPr>
        <w:pBdr/>
        <w:spacing/>
        <w:ind w:firstLine="567"/>
        <w:rPr>
          <w:sz w:val="22"/>
        </w:rPr>
      </w:pPr>
      <w:r>
        <w:rPr>
          <w:sz w:val="22"/>
        </w:rPr>
        <w:t xml:space="preserve">Navržená stavba se nenachází v záplavovém území, poddolovaném území, památkové zóně, rezervaci ani zvláště chráněném území. Celý areál ČOV se nachází v CHKO Český kras. </w:t>
      </w:r>
      <w:r>
        <w:rPr>
          <w:sz w:val="22"/>
        </w:rPr>
      </w:r>
    </w:p>
    <w:p>
      <w:pPr>
        <w:pStyle w:val="825"/>
        <w:numPr>
          <w:ilvl w:val="2"/>
          <w:numId w:val="16"/>
        </w:numPr>
        <w:pBdr/>
        <w:spacing/>
        <w:ind w:hanging="567" w:left="567"/>
        <w:rPr>
          <w:sz w:val="22"/>
          <w:u w:val="single"/>
        </w:rPr>
      </w:pPr>
      <w:r>
        <w:rPr>
          <w:sz w:val="22"/>
          <w:u w:val="single"/>
        </w:rPr>
        <w:t xml:space="preserve">vliv stavby na okolní stavby a pozemky, ochrana okolí, vliv stavby na odtokové poměry v území, požadavky na asanace, demolice a kácení dřevin,</w:t>
      </w:r>
      <w:r>
        <w:rPr>
          <w:sz w:val="22"/>
          <w:u w:val="single"/>
        </w:rPr>
      </w:r>
    </w:p>
    <w:p>
      <w:pPr>
        <w:pBdr/>
        <w:spacing/>
        <w:ind w:firstLine="567"/>
        <w:rPr>
          <w:sz w:val="22"/>
        </w:rPr>
      </w:pPr>
      <w:r>
        <w:rPr>
          <w:sz w:val="22"/>
        </w:rPr>
        <w:t xml:space="preserve">Projekt je řešen tak, aby se co nejméně zvýšily negativní účinky a vlivy na okolní pozemky a stavby při výstavbě. Po dokončení stavby nebude stavební objekt negativně ovlivňovat své okolí. Během výstavby dojde k přechodnému zvýšení prašnosti a hlučnosti.</w:t>
      </w:r>
      <w:r>
        <w:rPr>
          <w:sz w:val="22"/>
        </w:rPr>
        <w:t xml:space="preserve"> Stavba bude prováděna pouze v době od 6 do 22 hodin. Na stavbě nebudou použity mechanismy se zvýšenou hladinou hluku. Stavby bude prováděna tak, aby hladina hluku ve </w:t>
      </w:r>
      <w:r>
        <w:rPr>
          <w:sz w:val="22"/>
        </w:rPr>
        <w:t xml:space="preserve">venkovním chráněném prostoru staveb byla v souladu s </w:t>
      </w:r>
      <w:r>
        <w:rPr>
          <w:sz w:val="22"/>
        </w:rPr>
        <w:t xml:space="preserve">§ 12 nařízení vlády č. 502/2000 </w:t>
      </w:r>
      <w:r>
        <w:rPr>
          <w:sz w:val="22"/>
        </w:rPr>
        <w:t xml:space="preserve">Sb</w:t>
      </w:r>
      <w:r>
        <w:rPr>
          <w:sz w:val="22"/>
        </w:rPr>
        <w:t xml:space="preserve"> (max. 60dB) ve znění pozdějších změn a doplňků.</w:t>
      </w:r>
      <w:r>
        <w:rPr>
          <w:sz w:val="22"/>
        </w:rPr>
        <w:t xml:space="preserve"> Normou povolené hodnoty nebudou překročeny. Výstavbou nebudou dotčeny chráněné objekty. Dokončenou stavbou se jinak nezmění odtokové poměry v přilehlém okolí. </w:t>
      </w:r>
      <w:r>
        <w:rPr>
          <w:sz w:val="22"/>
        </w:rPr>
        <w:t xml:space="preserve">Dále dojde k dočasnému omezení práv majitelů a uživatelů nejen dotčených, ale i přilehlých pozemků. Stavba se nachází ve vzdálenosti cca 150 m od stávající zástavby obce Třebotov. </w:t>
      </w:r>
      <w:r>
        <w:rPr>
          <w:sz w:val="22"/>
        </w:rPr>
      </w:r>
    </w:p>
    <w:p>
      <w:pPr>
        <w:pStyle w:val="825"/>
        <w:numPr>
          <w:ilvl w:val="2"/>
          <w:numId w:val="16"/>
        </w:numPr>
        <w:pBdr/>
        <w:spacing/>
        <w:ind w:hanging="567" w:left="567"/>
        <w:rPr>
          <w:sz w:val="22"/>
          <w:u w:val="single"/>
        </w:rPr>
      </w:pPr>
      <w:r>
        <w:rPr>
          <w:sz w:val="22"/>
          <w:u w:val="single"/>
        </w:rPr>
        <w:t xml:space="preserve">požadavky na maximální dočasné a trvalé zábory zemědělského půdního fondu nebo pozemků určených k plnění funkce lesa,</w:t>
      </w:r>
      <w:r>
        <w:rPr>
          <w:sz w:val="22"/>
          <w:u w:val="single"/>
        </w:rPr>
      </w:r>
    </w:p>
    <w:p>
      <w:pPr>
        <w:pBdr/>
        <w:spacing/>
        <w:ind w:firstLine="567"/>
        <w:rPr>
          <w:sz w:val="22"/>
        </w:rPr>
      </w:pPr>
      <w:r>
        <w:rPr>
          <w:sz w:val="22"/>
        </w:rPr>
        <w:t xml:space="preserve">Odně</w:t>
      </w:r>
      <w:r>
        <w:rPr>
          <w:sz w:val="22"/>
        </w:rPr>
        <w:t xml:space="preserve">tí zemědělské půdy ze ZPF bude </w:t>
      </w:r>
      <w:r>
        <w:rPr>
          <w:sz w:val="22"/>
        </w:rPr>
        <w:t xml:space="preserve">pro pozemek ČOV pod oplocením trvalé, jedná se o pozemek </w:t>
      </w:r>
      <w:r>
        <w:rPr>
          <w:sz w:val="22"/>
        </w:rPr>
        <w:t xml:space="preserve">kat</w:t>
      </w:r>
      <w:r>
        <w:rPr>
          <w:sz w:val="22"/>
        </w:rPr>
        <w:t xml:space="preserve">.</w:t>
      </w:r>
      <w:r>
        <w:rPr>
          <w:sz w:val="22"/>
        </w:rPr>
        <w:t xml:space="preserve">č</w:t>
      </w:r>
      <w:r>
        <w:rPr>
          <w:sz w:val="22"/>
        </w:rPr>
        <w:t xml:space="preserve">.</w:t>
      </w:r>
      <w:r>
        <w:rPr>
          <w:sz w:val="22"/>
        </w:rPr>
        <w:t xml:space="preserve"> 163/2 </w:t>
      </w:r>
      <w:r>
        <w:rPr>
          <w:sz w:val="22"/>
        </w:rPr>
        <w:t xml:space="preserve">- </w:t>
      </w:r>
      <w:r>
        <w:rPr>
          <w:sz w:val="22"/>
        </w:rPr>
        <w:t xml:space="preserve">1347</w:t>
      </w:r>
      <w:r>
        <w:rPr>
          <w:sz w:val="22"/>
        </w:rPr>
        <w:t xml:space="preserve"> m2. Trvalý zábor je pouze v rozsah</w:t>
      </w:r>
      <w:r>
        <w:rPr>
          <w:sz w:val="22"/>
        </w:rPr>
        <w:t xml:space="preserve">u oplocení - viz výkres. </w:t>
      </w:r>
      <w:r>
        <w:rPr>
          <w:sz w:val="22"/>
        </w:rPr>
      </w:r>
    </w:p>
    <w:p>
      <w:pPr>
        <w:pBdr/>
        <w:spacing/>
        <w:ind w:firstLine="567"/>
        <w:rPr>
          <w:sz w:val="22"/>
        </w:rPr>
      </w:pPr>
      <w:r>
        <w:rPr>
          <w:sz w:val="22"/>
        </w:rPr>
        <w:t xml:space="preserve">V</w:t>
      </w:r>
      <w:r>
        <w:rPr>
          <w:sz w:val="22"/>
        </w:rPr>
        <w:t xml:space="preserve"> části pozemku trvalého záboru </w:t>
      </w:r>
      <w:r>
        <w:rPr>
          <w:sz w:val="22"/>
        </w:rPr>
        <w:t xml:space="preserve">bude vyjmut ze ZPF a provedena změna druhu pozemku na ostatní plochu a stavbu.</w:t>
      </w:r>
      <w:r>
        <w:rPr>
          <w:sz w:val="22"/>
        </w:rPr>
      </w:r>
    </w:p>
    <w:p>
      <w:pPr>
        <w:pStyle w:val="825"/>
        <w:numPr>
          <w:ilvl w:val="2"/>
          <w:numId w:val="16"/>
        </w:numPr>
        <w:pBdr/>
        <w:spacing/>
        <w:ind w:hanging="567" w:left="567"/>
        <w:rPr>
          <w:sz w:val="22"/>
        </w:rPr>
      </w:pPr>
      <w:r>
        <w:rPr>
          <w:sz w:val="22"/>
          <w:u w:val="single"/>
        </w:rPr>
        <w:t xml:space="preserve">navrhovaná a vznikající ochranná a bezpečnostní pásma, rozsah omezení a podmínky ochrany podle jiných právních předpisů, včetně seznamu pozemků podle katastru nemovitostí, na kterých ochranné nebo bezpečnostní pásmo vznikne</w:t>
      </w:r>
      <w:r>
        <w:rPr>
          <w:sz w:val="22"/>
        </w:rPr>
        <w:t xml:space="preserve">,</w:t>
      </w:r>
      <w:r>
        <w:rPr>
          <w:sz w:val="22"/>
        </w:rPr>
      </w:r>
    </w:p>
    <w:p>
      <w:pPr>
        <w:pBdr/>
        <w:spacing w:after="120" w:line="276" w:lineRule="auto"/>
        <w:ind w:firstLine="360"/>
        <w:rPr>
          <w:rFonts w:cs="Arial"/>
          <w:sz w:val="22"/>
          <w:szCs w:val="24"/>
        </w:rPr>
      </w:pPr>
      <w:r>
        <w:rPr>
          <w:rFonts w:cs="Arial"/>
          <w:sz w:val="22"/>
          <w:szCs w:val="24"/>
        </w:rPr>
        <w:t xml:space="preserve">Při stavební činnosti budou respektována nařízení o provádění stavebních prací v příslušných ochranných pásmech. Při stavbě nedojde k dotčení ochranných pásem ostatních sítí technické infrastruktury. Zadavatel je povinen provést oznámení o z</w:t>
      </w:r>
      <w:r>
        <w:rPr>
          <w:rFonts w:cs="Arial"/>
          <w:sz w:val="22"/>
          <w:szCs w:val="24"/>
        </w:rPr>
        <w:t xml:space="preserve">ahájení prací příslušnému oblastnímu inspektorátu práce před předáním staveniště zhotoviteli v zákonem stanovené lhůtě. Forma předání oznámení může být v listinné či elektronické podobě. Za včasné doručení zodpovídá zadavatel (§15, odst. 1 zákona 309/2006 </w:t>
      </w:r>
      <w:r>
        <w:rPr>
          <w:rFonts w:cs="Arial"/>
          <w:sz w:val="22"/>
          <w:szCs w:val="24"/>
        </w:rPr>
        <w:t xml:space="preserve">Sb</w:t>
      </w:r>
      <w:r>
        <w:rPr>
          <w:rFonts w:cs="Arial"/>
          <w:sz w:val="22"/>
          <w:szCs w:val="24"/>
        </w:rPr>
        <w:t xml:space="preserve">). Stavební a montážní práce musí být prováděny v souladu s ustanovením předpisů o bezpečnosti práce, jmenovitě nařízením vlády č. 5</w:t>
      </w:r>
      <w:r>
        <w:rPr>
          <w:rFonts w:cs="Arial"/>
          <w:sz w:val="22"/>
          <w:szCs w:val="24"/>
        </w:rPr>
        <w:t xml:space="preserve">91/2006 Sb. Požadavky na bezpečnost a ochranu zdraví při práci na staveništích a zákonem č. 309/2006 Sb. Za všech okolností musí být dodržena prostorová norma ČSN 73 6005 – nejmenší dovolené vzdálenosti při souběhu a křížení podzemních inženýrských sítí.  </w:t>
      </w:r>
      <w:r>
        <w:rPr>
          <w:rFonts w:cs="Arial"/>
          <w:sz w:val="22"/>
          <w:szCs w:val="24"/>
        </w:rPr>
      </w:r>
    </w:p>
    <w:p>
      <w:pPr>
        <w:pBdr/>
        <w:spacing w:line="276" w:lineRule="auto"/>
        <w:ind w:firstLine="360"/>
        <w:rPr>
          <w:rFonts w:cs="Arial"/>
          <w:sz w:val="22"/>
        </w:rPr>
      </w:pPr>
      <w:r>
        <w:rPr>
          <w:rFonts w:cs="Arial"/>
          <w:sz w:val="22"/>
        </w:rPr>
        <w:t xml:space="preserve">Stavba bude provedena v souladu s ČSN 73 6005 </w:t>
      </w:r>
      <w:r>
        <w:rPr>
          <w:rFonts w:cs="Arial"/>
          <w:i/>
          <w:sz w:val="22"/>
        </w:rPr>
        <w:t xml:space="preserve">(Prostorové uspořádání vedení technického vybavení</w:t>
      </w:r>
      <w:r>
        <w:rPr>
          <w:rFonts w:cs="Arial"/>
          <w:sz w:val="22"/>
        </w:rPr>
        <w:t xml:space="preserve">), zák. č. 17/1992 (</w:t>
      </w:r>
      <w:r>
        <w:rPr>
          <w:rFonts w:cs="Arial"/>
          <w:i/>
          <w:sz w:val="22"/>
        </w:rPr>
        <w:t xml:space="preserve">Zákon o životním prostředí</w:t>
      </w:r>
      <w:r>
        <w:rPr>
          <w:rFonts w:cs="Arial"/>
          <w:sz w:val="22"/>
        </w:rPr>
        <w:t xml:space="preserve">) Sb., zák. č. 388/1991 (</w:t>
      </w:r>
      <w:r>
        <w:rPr>
          <w:rFonts w:cs="Arial"/>
          <w:i/>
          <w:sz w:val="22"/>
        </w:rPr>
        <w:t xml:space="preserve">Zákon České národní rady o Státním fondu životního prostředí České republiky</w:t>
      </w:r>
      <w:r>
        <w:rPr>
          <w:rFonts w:cs="Arial"/>
          <w:sz w:val="22"/>
        </w:rPr>
        <w:t xml:space="preserve">) Sb., nařízení vlády ČR č. </w:t>
      </w:r>
      <w:r>
        <w:rPr>
          <w:rFonts w:cs="Arial"/>
          <w:color w:val="000000"/>
          <w:sz w:val="22"/>
          <w:shd w:val="clear" w:color="auto" w:fill="ffffff"/>
        </w:rPr>
        <w:t xml:space="preserve">401/2015</w:t>
      </w:r>
      <w:r>
        <w:rPr>
          <w:rFonts w:cs="Arial"/>
          <w:sz w:val="22"/>
        </w:rPr>
        <w:t xml:space="preserve"> (</w:t>
      </w:r>
      <w:r>
        <w:rPr>
          <w:rFonts w:cs="Arial"/>
          <w:i/>
          <w:sz w:val="22"/>
        </w:rPr>
        <w:t xml:space="preserve">Nařízení vlády o ukazatelích a hodnotách přípustného znečištění povrchových vod a odpadních vod, náležitostech povolení k vypouštění odpadních vod do vod povrchových a do kanalizací a o citlivých oblastech</w:t>
      </w:r>
      <w:r>
        <w:rPr>
          <w:rFonts w:cs="Arial"/>
          <w:sz w:val="22"/>
        </w:rPr>
        <w:t xml:space="preserve">) Sb., zák. č. 541/2020 (</w:t>
      </w:r>
      <w:r>
        <w:rPr>
          <w:rFonts w:cs="Arial"/>
          <w:i/>
          <w:sz w:val="22"/>
        </w:rPr>
        <w:t xml:space="preserve">Zákon o odpadech a o změně některých dalších zákonů</w:t>
      </w:r>
      <w:r>
        <w:rPr>
          <w:rFonts w:cs="Arial"/>
          <w:sz w:val="22"/>
        </w:rPr>
        <w:t xml:space="preserve">) Sb., zák. č. 201/2012 (</w:t>
      </w:r>
      <w:r>
        <w:rPr>
          <w:rFonts w:cs="Arial"/>
          <w:i/>
          <w:sz w:val="22"/>
        </w:rPr>
        <w:t xml:space="preserve">Zákon o ochraně ovzduší</w:t>
      </w:r>
      <w:r>
        <w:rPr>
          <w:rFonts w:cs="Arial"/>
          <w:sz w:val="22"/>
        </w:rPr>
        <w:t xml:space="preserve">) Sb., Nařízení vlády 362/2005 Sb. (</w:t>
      </w:r>
      <w:r>
        <w:rPr>
          <w:rFonts w:cs="Arial"/>
          <w:i/>
          <w:sz w:val="22"/>
        </w:rPr>
        <w:t xml:space="preserve">Nařízení vlády o bližších požadavcích na bezpečnost a ochranu zdraví při práci na pracovištích s nebezpečím pádu z výšky nebo do hloubky</w:t>
      </w:r>
      <w:r>
        <w:rPr>
          <w:rFonts w:cs="Arial"/>
          <w:sz w:val="22"/>
        </w:rPr>
        <w:t xml:space="preserve">) a Technické podmínky investora.</w:t>
      </w:r>
      <w:r>
        <w:rPr>
          <w:rFonts w:cs="Arial"/>
          <w:sz w:val="22"/>
        </w:rPr>
      </w:r>
    </w:p>
    <w:p>
      <w:pPr>
        <w:pBdr/>
        <w:spacing w:after="120" w:line="276" w:lineRule="auto"/>
        <w:ind/>
        <w:rPr>
          <w:rFonts w:cs="Arial"/>
          <w:sz w:val="22"/>
          <w:szCs w:val="24"/>
        </w:rPr>
      </w:pPr>
      <w:r>
        <w:rPr>
          <w:rFonts w:cs="Arial"/>
          <w:sz w:val="22"/>
          <w:szCs w:val="24"/>
        </w:rPr>
        <w:t xml:space="preserve">Ochranná pásma stávajících inženýrských sítí a infrastruktury, kterých se stavba dotýká:</w:t>
      </w:r>
      <w:r>
        <w:rPr>
          <w:rFonts w:cs="Arial"/>
          <w:sz w:val="22"/>
          <w:szCs w:val="24"/>
        </w:rPr>
      </w:r>
    </w:p>
    <w:tbl>
      <w:tblPr>
        <w:jc w:val="center"/>
        <w:tblW w:w="9210" w:type="dxa"/>
        <w:tblCellMar>
          <w:left w:w="65" w:type="dxa"/>
          <w:right w:w="70" w:type="dxa"/>
        </w:tblCellMa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000" w:firstRow="0" w:lastRow="0" w:firstColumn="0" w:lastColumn="0" w:noHBand="0" w:noVBand="0"/>
      </w:tblPr>
      <w:tblGrid>
        <w:gridCol w:w="3070"/>
        <w:gridCol w:w="3070"/>
        <w:gridCol w:w="3070"/>
      </w:tblGrid>
      <w:tr>
        <w:trPr>
          <w:jc w:val="center"/>
        </w:trPr>
        <w:tc>
          <w:tcPr>
            <w:gridSpan w:val="3"/>
            <w:shd w:val="clear" w:color="auto" w:fill="auto"/>
            <w:tcBorders>
              <w:top w:val="single" w:color="00000a" w:sz="4" w:space="0"/>
              <w:left w:val="single" w:color="00000a" w:sz="4" w:space="0"/>
              <w:bottom w:val="single" w:color="00000a" w:sz="4" w:space="0"/>
              <w:right w:val="single" w:color="00000a" w:sz="4" w:space="0"/>
            </w:tcBorders>
            <w:tcMar>
              <w:left w:w="65" w:type="dxa"/>
            </w:tcMar>
            <w:tcW w:w="9210" w:type="dxa"/>
            <w:textDirection w:val="lrTb"/>
            <w:noWrap w:val="false"/>
          </w:tcPr>
          <w:p>
            <w:pPr>
              <w:pBdr/>
              <w:spacing w:line="276" w:lineRule="auto"/>
              <w:ind/>
              <w:rPr>
                <w:rFonts w:cs="Arial"/>
                <w:sz w:val="22"/>
                <w:szCs w:val="24"/>
              </w:rPr>
            </w:pPr>
            <w:r>
              <w:rPr>
                <w:rFonts w:cs="Arial"/>
                <w:b/>
                <w:sz w:val="22"/>
                <w:szCs w:val="24"/>
              </w:rPr>
              <w:t xml:space="preserve">Vodárenská zařízení a kanalizační stoky</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Vodovod do DN 500</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1,5 m na každou stranu od vnějšího líce</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zákona č. 274/2001 Sb., O vodovodech a kanalizacích</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Kanalizace do DN 500</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1,5 m na každou stranu od vnějšího líce</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zákona č. 274/2001 Sb., O vodovodech a kanalizacích</w:t>
            </w:r>
            <w:r>
              <w:rPr>
                <w:rFonts w:cs="Arial"/>
                <w:sz w:val="22"/>
                <w:szCs w:val="24"/>
              </w:rPr>
            </w:r>
          </w:p>
        </w:tc>
      </w:tr>
      <w:tr>
        <w:trPr>
          <w:jc w:val="center"/>
        </w:trPr>
        <w:tc>
          <w:tcPr>
            <w:gridSpan w:val="3"/>
            <w:shd w:val="clear" w:color="auto" w:fill="auto"/>
            <w:tcBorders>
              <w:top w:val="single" w:color="00000a" w:sz="4" w:space="0"/>
              <w:left w:val="single" w:color="00000a" w:sz="4" w:space="0"/>
              <w:bottom w:val="single" w:color="00000a" w:sz="4" w:space="0"/>
              <w:right w:val="single" w:color="00000a" w:sz="4" w:space="0"/>
            </w:tcBorders>
            <w:tcMar>
              <w:left w:w="65" w:type="dxa"/>
            </w:tcMar>
            <w:tcW w:w="9210" w:type="dxa"/>
            <w:textDirection w:val="lrTb"/>
            <w:noWrap w:val="false"/>
          </w:tcPr>
          <w:p>
            <w:pPr>
              <w:pBdr/>
              <w:spacing w:line="276" w:lineRule="auto"/>
              <w:ind/>
              <w:rPr>
                <w:rFonts w:cs="Arial"/>
                <w:sz w:val="22"/>
                <w:szCs w:val="24"/>
              </w:rPr>
            </w:pPr>
            <w:r>
              <w:rPr>
                <w:rFonts w:cs="Arial"/>
                <w:b/>
                <w:sz w:val="22"/>
                <w:szCs w:val="24"/>
              </w:rPr>
              <w:t xml:space="preserve">Pozemní komunikace</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Silnice II. třídy</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15,0 m od osy vozovky</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zákon č. 13/1997 Sb., O pozemních komunikacích</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Silnice III. třídy</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15,0 m od osy vozovky</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zákon č. 13/1997 Sb., O pozemních komunikacích</w:t>
            </w:r>
            <w:r>
              <w:rPr>
                <w:rFonts w:cs="Arial"/>
                <w:sz w:val="22"/>
                <w:szCs w:val="24"/>
              </w:rPr>
            </w:r>
          </w:p>
        </w:tc>
      </w:tr>
      <w:tr>
        <w:trPr>
          <w:jc w:val="center"/>
          <w:trHeight w:val="129"/>
        </w:trPr>
        <w:tc>
          <w:tcPr>
            <w:gridSpan w:val="3"/>
            <w:shd w:val="clear" w:color="auto" w:fill="auto"/>
            <w:tcBorders>
              <w:top w:val="single" w:color="00000a" w:sz="4" w:space="0"/>
              <w:left w:val="single" w:color="00000a" w:sz="4" w:space="0"/>
              <w:bottom w:val="single" w:color="00000a" w:sz="4" w:space="0"/>
              <w:right w:val="single" w:color="00000a" w:sz="4" w:space="0"/>
            </w:tcBorders>
            <w:tcMar>
              <w:left w:w="65" w:type="dxa"/>
            </w:tcMar>
            <w:tcW w:w="9210" w:type="dxa"/>
            <w:textDirection w:val="lrTb"/>
            <w:noWrap w:val="false"/>
          </w:tcPr>
          <w:p>
            <w:pPr>
              <w:pBdr/>
              <w:spacing w:line="276" w:lineRule="auto"/>
              <w:ind/>
              <w:rPr>
                <w:rFonts w:cs="Arial"/>
                <w:sz w:val="22"/>
                <w:szCs w:val="24"/>
              </w:rPr>
            </w:pPr>
            <w:r>
              <w:rPr>
                <w:rFonts w:cs="Arial"/>
                <w:b/>
                <w:sz w:val="22"/>
                <w:szCs w:val="24"/>
              </w:rPr>
              <w:t xml:space="preserve">Elektrizační soustava</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Nadzemní el. </w:t>
            </w:r>
            <w:r>
              <w:rPr>
                <w:rFonts w:cs="Arial"/>
                <w:sz w:val="22"/>
                <w:szCs w:val="24"/>
              </w:rPr>
              <w:t xml:space="preserve">vedení</w:t>
            </w:r>
            <w:r>
              <w:rPr>
                <w:rFonts w:cs="Arial"/>
                <w:sz w:val="22"/>
                <w:szCs w:val="24"/>
              </w:rPr>
              <w:t xml:space="preserve"> nad 1kV do 35kV včetně</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Vodič bez izolace: 7,0 m</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§46 </w:t>
            </w:r>
            <w:r>
              <w:rPr>
                <w:rFonts w:cs="Arial"/>
                <w:sz w:val="22"/>
                <w:szCs w:val="24"/>
              </w:rPr>
              <w:t xml:space="preserve">odst.3 písm.</w:t>
            </w:r>
            <w:r>
              <w:rPr>
                <w:rFonts w:cs="Arial"/>
                <w:sz w:val="22"/>
                <w:szCs w:val="24"/>
              </w:rPr>
              <w:t xml:space="preserve"> a) zákona 458/2000 Sb., energetický zákon</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Nadzemní el. </w:t>
            </w:r>
            <w:r>
              <w:rPr>
                <w:rFonts w:cs="Arial"/>
                <w:sz w:val="22"/>
                <w:szCs w:val="24"/>
              </w:rPr>
              <w:t xml:space="preserve">vedení</w:t>
            </w:r>
            <w:r>
              <w:rPr>
                <w:rFonts w:cs="Arial"/>
                <w:sz w:val="22"/>
                <w:szCs w:val="24"/>
              </w:rPr>
              <w:t xml:space="preserve"> nad 1kV do 35kV včetně</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Vodič s izolací základní: 2,0 m</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§46 </w:t>
            </w:r>
            <w:r>
              <w:rPr>
                <w:rFonts w:cs="Arial"/>
                <w:sz w:val="22"/>
                <w:szCs w:val="24"/>
              </w:rPr>
              <w:t xml:space="preserve">odst.3 písm.</w:t>
            </w:r>
            <w:r>
              <w:rPr>
                <w:rFonts w:cs="Arial"/>
                <w:sz w:val="22"/>
                <w:szCs w:val="24"/>
              </w:rPr>
              <w:t xml:space="preserve"> a) zákona 458/2000 Sb., energetický zákon</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Zařízení telekomunikační sítě držitele licence</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1,0 m</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§46 </w:t>
            </w:r>
            <w:r>
              <w:rPr>
                <w:rFonts w:cs="Arial"/>
                <w:sz w:val="22"/>
                <w:szCs w:val="24"/>
              </w:rPr>
              <w:t xml:space="preserve">odst.3 písm.</w:t>
            </w:r>
            <w:r>
              <w:rPr>
                <w:rFonts w:cs="Arial"/>
                <w:sz w:val="22"/>
                <w:szCs w:val="24"/>
              </w:rPr>
              <w:t xml:space="preserve"> a) zákona 458/2000 Sb., energetický zákon</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Podzemní el. </w:t>
            </w:r>
            <w:r>
              <w:rPr>
                <w:rFonts w:cs="Arial"/>
                <w:sz w:val="22"/>
                <w:szCs w:val="24"/>
              </w:rPr>
              <w:t xml:space="preserve">vedení</w:t>
            </w:r>
            <w:r>
              <w:rPr>
                <w:rFonts w:cs="Arial"/>
                <w:sz w:val="22"/>
                <w:szCs w:val="24"/>
              </w:rPr>
              <w:t xml:space="preserve"> do 110kV</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1,0 m po obou stranách od krajního kabelu</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§46 </w:t>
            </w:r>
            <w:r>
              <w:rPr>
                <w:rFonts w:cs="Arial"/>
                <w:sz w:val="22"/>
                <w:szCs w:val="24"/>
              </w:rPr>
              <w:t xml:space="preserve">odst.5 zákona</w:t>
            </w:r>
            <w:r>
              <w:rPr>
                <w:rFonts w:cs="Arial"/>
                <w:sz w:val="22"/>
                <w:szCs w:val="24"/>
              </w:rPr>
              <w:t xml:space="preserve"> 458/2000 Sb., energetický zákon</w:t>
            </w:r>
            <w:r>
              <w:rPr>
                <w:rFonts w:cs="Arial"/>
                <w:sz w:val="22"/>
                <w:szCs w:val="24"/>
              </w:rPr>
            </w:r>
          </w:p>
        </w:tc>
      </w:tr>
      <w:tr>
        <w:trPr>
          <w:jc w:val="center"/>
        </w:trPr>
        <w:tc>
          <w:tcPr>
            <w:gridSpan w:val="3"/>
            <w:shd w:val="clear" w:color="auto" w:fill="auto"/>
            <w:tcBorders>
              <w:top w:val="single" w:color="00000a" w:sz="4" w:space="0"/>
              <w:left w:val="single" w:color="00000a" w:sz="4" w:space="0"/>
              <w:bottom w:val="single" w:color="00000a" w:sz="4" w:space="0"/>
              <w:right w:val="single" w:color="00000a" w:sz="4" w:space="0"/>
            </w:tcBorders>
            <w:tcMar>
              <w:left w:w="65" w:type="dxa"/>
            </w:tcMar>
            <w:tcW w:w="9210" w:type="dxa"/>
            <w:textDirection w:val="lrTb"/>
            <w:noWrap w:val="false"/>
          </w:tcPr>
          <w:p>
            <w:pPr>
              <w:pBdr/>
              <w:spacing w:line="276" w:lineRule="auto"/>
              <w:ind/>
              <w:rPr>
                <w:rFonts w:cs="Arial"/>
                <w:sz w:val="22"/>
                <w:szCs w:val="24"/>
              </w:rPr>
            </w:pPr>
            <w:r>
              <w:rPr>
                <w:rFonts w:cs="Arial"/>
                <w:b/>
                <w:sz w:val="22"/>
                <w:szCs w:val="24"/>
              </w:rPr>
              <w:t xml:space="preserve">Plynovod</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Plynovod a přípojka STL a NTL v zastavěné části obce (vybudovaný po </w:t>
            </w:r>
            <w:r>
              <w:rPr>
                <w:rFonts w:cs="Arial"/>
                <w:sz w:val="22"/>
                <w:szCs w:val="24"/>
              </w:rPr>
              <w:t xml:space="preserve">1.1.2001</w:t>
            </w:r>
            <w:r>
              <w:rPr>
                <w:rFonts w:cs="Arial"/>
                <w:sz w:val="22"/>
                <w:szCs w:val="24"/>
              </w:rPr>
              <w:t xml:space="preserve">)</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1,0 m na obě strany od okraje potrubí</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§68 </w:t>
            </w:r>
            <w:r>
              <w:rPr>
                <w:rFonts w:cs="Arial"/>
                <w:sz w:val="22"/>
                <w:szCs w:val="24"/>
              </w:rPr>
              <w:t xml:space="preserve">odst.3 písm.</w:t>
            </w:r>
            <w:r>
              <w:rPr>
                <w:rFonts w:cs="Arial"/>
                <w:sz w:val="22"/>
                <w:szCs w:val="24"/>
              </w:rPr>
              <w:t xml:space="preserve"> a) zákona 458/2000 Sb., energetický zákon</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Plynovod do DN200 (vybudovaný v období mezi </w:t>
            </w:r>
            <w:r>
              <w:rPr>
                <w:rFonts w:cs="Arial"/>
                <w:sz w:val="22"/>
                <w:szCs w:val="24"/>
              </w:rPr>
              <w:t xml:space="preserve">1.1.1995</w:t>
            </w:r>
            <w:r>
              <w:rPr>
                <w:rFonts w:cs="Arial"/>
                <w:sz w:val="22"/>
                <w:szCs w:val="24"/>
              </w:rPr>
              <w:t xml:space="preserve"> – 31.12.2000) </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4,0 m na obě strany od okraje potrubí</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§68 </w:t>
            </w:r>
            <w:r>
              <w:rPr>
                <w:rFonts w:cs="Arial"/>
                <w:sz w:val="22"/>
                <w:szCs w:val="24"/>
              </w:rPr>
              <w:t xml:space="preserve">odst.3 písm.</w:t>
            </w:r>
            <w:r>
              <w:rPr>
                <w:rFonts w:cs="Arial"/>
                <w:sz w:val="22"/>
                <w:szCs w:val="24"/>
              </w:rPr>
              <w:t xml:space="preserve"> a) zákona 458/2000 Sb., energetický zákon</w:t>
            </w:r>
            <w:r>
              <w:rPr>
                <w:rFonts w:cs="Arial"/>
                <w:sz w:val="22"/>
                <w:szCs w:val="24"/>
              </w:rPr>
            </w:r>
          </w:p>
        </w:tc>
      </w:tr>
      <w:tr>
        <w:trPr>
          <w:jc w:val="center"/>
        </w:trPr>
        <w:tc>
          <w:tcPr>
            <w:gridSpan w:val="3"/>
            <w:shd w:val="clear" w:color="auto" w:fill="auto"/>
            <w:tcBorders>
              <w:top w:val="single" w:color="00000a" w:sz="4" w:space="0"/>
              <w:left w:val="single" w:color="00000a" w:sz="4" w:space="0"/>
              <w:bottom w:val="single" w:color="00000a" w:sz="4" w:space="0"/>
              <w:right w:val="single" w:color="00000a" w:sz="4" w:space="0"/>
            </w:tcBorders>
            <w:tcMar>
              <w:left w:w="65" w:type="dxa"/>
            </w:tcMar>
            <w:tcW w:w="9210" w:type="dxa"/>
            <w:textDirection w:val="lrTb"/>
            <w:noWrap w:val="false"/>
          </w:tcPr>
          <w:p>
            <w:pPr>
              <w:pBdr/>
              <w:spacing w:line="276" w:lineRule="auto"/>
              <w:ind/>
              <w:rPr>
                <w:rFonts w:cs="Arial"/>
                <w:sz w:val="22"/>
                <w:szCs w:val="24"/>
              </w:rPr>
            </w:pPr>
            <w:r>
              <w:rPr>
                <w:rFonts w:cs="Arial"/>
                <w:b/>
                <w:sz w:val="22"/>
                <w:szCs w:val="24"/>
              </w:rPr>
              <w:t xml:space="preserve">Telekomunikační zařízení</w:t>
            </w:r>
            <w:r>
              <w:rPr>
                <w:rFonts w:cs="Arial"/>
                <w:sz w:val="22"/>
                <w:szCs w:val="24"/>
              </w:rPr>
            </w:r>
          </w:p>
        </w:tc>
      </w:tr>
      <w:tr>
        <w:trPr>
          <w:jc w:val="center"/>
        </w:trPr>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b/>
                <w:sz w:val="22"/>
                <w:szCs w:val="24"/>
              </w:rPr>
            </w:pPr>
            <w:r>
              <w:rPr>
                <w:rFonts w:cs="Arial"/>
                <w:sz w:val="22"/>
                <w:szCs w:val="24"/>
              </w:rPr>
              <w:t xml:space="preserve">Podzemní telekomunikační vedení</w:t>
            </w:r>
            <w:r>
              <w:rPr>
                <w:rFonts w:cs="Arial"/>
                <w:b/>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1,0 m po obou stranách krajního vedení</w:t>
            </w:r>
            <w:r>
              <w:rPr>
                <w:rFonts w:cs="Arial"/>
                <w:sz w:val="22"/>
                <w:szCs w:val="24"/>
              </w:rPr>
            </w:r>
          </w:p>
        </w:tc>
        <w:tc>
          <w:tcPr>
            <w:shd w:val="clear" w:color="auto" w:fill="auto"/>
            <w:tcBorders>
              <w:top w:val="single" w:color="00000a" w:sz="4" w:space="0"/>
              <w:left w:val="single" w:color="00000a" w:sz="4" w:space="0"/>
              <w:bottom w:val="single" w:color="00000a" w:sz="4" w:space="0"/>
              <w:right w:val="single" w:color="00000a" w:sz="4" w:space="0"/>
            </w:tcBorders>
            <w:tcMar>
              <w:left w:w="65" w:type="dxa"/>
            </w:tcMar>
            <w:tcW w:w="3070" w:type="dxa"/>
            <w:textDirection w:val="lrTb"/>
            <w:noWrap w:val="false"/>
          </w:tcPr>
          <w:p>
            <w:pPr>
              <w:pBdr/>
              <w:spacing w:line="276" w:lineRule="auto"/>
              <w:ind/>
              <w:rPr>
                <w:rFonts w:cs="Arial"/>
                <w:sz w:val="22"/>
                <w:szCs w:val="24"/>
              </w:rPr>
            </w:pPr>
            <w:r>
              <w:rPr>
                <w:rFonts w:cs="Arial"/>
                <w:sz w:val="22"/>
                <w:szCs w:val="24"/>
              </w:rPr>
              <w:t xml:space="preserve">§102 odst. 2 zákona 127/2005 Sb., o telekomunikacích</w:t>
            </w:r>
            <w:r>
              <w:rPr>
                <w:rFonts w:cs="Arial"/>
                <w:sz w:val="22"/>
                <w:szCs w:val="24"/>
              </w:rPr>
            </w:r>
          </w:p>
        </w:tc>
      </w:tr>
    </w:tbl>
    <w:p>
      <w:pPr>
        <w:pStyle w:val="825"/>
        <w:pBdr/>
        <w:spacing w:line="276" w:lineRule="auto"/>
        <w:ind w:left="360"/>
        <w:rPr>
          <w:rFonts w:cs="Arial"/>
          <w:b/>
          <w:sz w:val="22"/>
          <w:szCs w:val="24"/>
        </w:rPr>
      </w:pPr>
      <w:r>
        <w:rPr>
          <w:rFonts w:cs="Arial"/>
          <w:b/>
          <w:sz w:val="22"/>
          <w:szCs w:val="24"/>
        </w:rPr>
      </w:r>
      <w:r>
        <w:rPr>
          <w:rFonts w:cs="Arial"/>
          <w:b/>
          <w:sz w:val="22"/>
          <w:szCs w:val="24"/>
        </w:rPr>
      </w:r>
    </w:p>
    <w:p>
      <w:pPr>
        <w:pBdr/>
        <w:spacing w:line="276" w:lineRule="auto"/>
        <w:ind w:firstLine="567"/>
        <w:rPr>
          <w:rFonts w:cs="Arial"/>
          <w:b/>
          <w:sz w:val="22"/>
          <w:szCs w:val="24"/>
        </w:rPr>
      </w:pPr>
      <w:r>
        <w:rPr>
          <w:rFonts w:cs="Arial"/>
          <w:b/>
          <w:sz w:val="22"/>
          <w:szCs w:val="24"/>
        </w:rPr>
        <w:t xml:space="preserve">Před zahájením stavby musí zhotovitel zajistit vytýčení všech podzemních investic, aby nedošlo k jejich p</w:t>
      </w:r>
      <w:r>
        <w:rPr>
          <w:rFonts w:cs="Arial"/>
          <w:b/>
          <w:sz w:val="22"/>
          <w:szCs w:val="24"/>
        </w:rPr>
        <w:t xml:space="preserve">oškození. Veškeré výkopové práce v ochranných pásmech stávajících rozvodů se musí provádět ručně a s nejvyšší opatrností. Před jejich odkrytím je nutné uvědomit správce, zajistit ochranu proti porušení a jiným vnějším účinkům a řídit se jejich podmínkami. </w:t>
      </w:r>
      <w:r>
        <w:rPr>
          <w:rFonts w:cs="Arial"/>
          <w:b/>
          <w:sz w:val="22"/>
          <w:szCs w:val="24"/>
        </w:rPr>
      </w:r>
    </w:p>
    <w:p>
      <w:pPr>
        <w:pBdr/>
        <w:spacing/>
        <w:ind/>
        <w:rPr>
          <w:sz w:val="22"/>
        </w:rPr>
      </w:pPr>
      <w:r>
        <w:rPr>
          <w:sz w:val="22"/>
        </w:rPr>
        <w:t xml:space="preserve">Po skončení montážních prací budou provedeny příslušné zkoušky. Bude provedena zkouška průchodnosti. Dále bude následovat proplach a dezinfekce a tlaková zkouška dle ČSN 75 5911 Tlakové zkoušky vodovodního a závlahového potrubí. </w:t>
      </w:r>
      <w:r>
        <w:rPr>
          <w:sz w:val="22"/>
        </w:rPr>
      </w:r>
    </w:p>
    <w:p>
      <w:pPr>
        <w:pBdr/>
        <w:spacing/>
        <w:ind/>
        <w:rPr>
          <w:sz w:val="22"/>
        </w:rPr>
      </w:pPr>
      <w:r>
        <w:rPr>
          <w:sz w:val="22"/>
        </w:rPr>
        <w:t xml:space="preserve">Protokoly o zkouškách budou předloženy investorovi, který je předá vodoprávnímu orgánu při kolaudaci díla. </w:t>
      </w:r>
      <w:r>
        <w:rPr>
          <w:sz w:val="22"/>
        </w:rPr>
      </w:r>
    </w:p>
    <w:p>
      <w:pPr>
        <w:pBdr/>
        <w:spacing/>
        <w:ind/>
        <w:rPr>
          <w:b/>
          <w:sz w:val="22"/>
          <w:u w:val="single"/>
        </w:rPr>
      </w:pPr>
      <w:r>
        <w:rPr>
          <w:b/>
          <w:sz w:val="22"/>
          <w:u w:val="single"/>
        </w:rPr>
        <w:t xml:space="preserve">Se</w:t>
      </w:r>
      <w:r>
        <w:rPr>
          <w:b/>
          <w:sz w:val="22"/>
          <w:u w:val="single"/>
        </w:rPr>
        <w:t xml:space="preserve">znam pozemků dotčených stavbou:</w:t>
      </w:r>
      <w:r>
        <w:rPr>
          <w:b/>
          <w:sz w:val="22"/>
          <w:u w:val="single"/>
        </w:rPr>
        <w:t xml:space="preserve"> </w:t>
      </w:r>
      <w:r>
        <w:rPr>
          <w:b/>
          <w:sz w:val="22"/>
          <w:u w:val="single"/>
        </w:rPr>
      </w:r>
    </w:p>
    <w:tbl>
      <w:tblPr>
        <w:tblW w:w="8570" w:type="dxa"/>
        <w:tblCellMar>
          <w:left w:w="70" w:type="dxa"/>
          <w:right w:w="7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Pr w:horzAnchor="margin" w:tblpXSpec="center" w:vertAnchor="text" w:tblpY="389" w:leftFromText="141" w:topFromText="0" w:rightFromText="141" w:bottomFromText="0"/>
        <w:tblLook w:val="04A0" w:firstRow="1" w:lastRow="0" w:firstColumn="1" w:lastColumn="0" w:noHBand="0" w:noVBand="1"/>
      </w:tblPr>
      <w:tblGrid>
        <w:gridCol w:w="930"/>
        <w:gridCol w:w="882"/>
        <w:gridCol w:w="2719"/>
        <w:gridCol w:w="4039"/>
      </w:tblGrid>
      <w:tr>
        <w:trPr>
          <w:trHeight w:val="709"/>
        </w:trPr>
        <w:tc>
          <w:tcPr>
            <w:tcBorders/>
            <w:tcW w:w="930" w:type="dxa"/>
            <w:vAlign w:val="center"/>
            <w:textDirection w:val="lrTb"/>
            <w:noWrap w:val="false"/>
          </w:tcPr>
          <w:p>
            <w:pPr>
              <w:pBdr/>
              <w:spacing/>
              <w:ind/>
              <w:jc w:val="center"/>
              <w:rPr>
                <w:rFonts w:eastAsia="Times New Roman" w:cs="Arial"/>
                <w:b/>
                <w:bCs/>
                <w:szCs w:val="20"/>
                <w:lang w:eastAsia="cs-CZ"/>
              </w:rPr>
            </w:pPr>
            <w:r>
              <w:rPr>
                <w:rFonts w:eastAsia="Times New Roman" w:cs="Arial"/>
                <w:b/>
                <w:bCs/>
                <w:szCs w:val="20"/>
                <w:lang w:eastAsia="cs-CZ"/>
              </w:rPr>
            </w:r>
            <w:r>
              <w:rPr>
                <w:rFonts w:eastAsia="Times New Roman" w:cs="Arial"/>
                <w:b/>
                <w:bCs/>
                <w:szCs w:val="20"/>
                <w:lang w:eastAsia="cs-CZ"/>
              </w:rPr>
            </w:r>
          </w:p>
          <w:p>
            <w:pPr>
              <w:pBdr/>
              <w:spacing/>
              <w:ind/>
              <w:jc w:val="center"/>
              <w:rPr>
                <w:rFonts w:eastAsia="Times New Roman" w:cs="Arial"/>
                <w:b/>
                <w:bCs/>
                <w:szCs w:val="20"/>
                <w:lang w:eastAsia="cs-CZ"/>
              </w:rPr>
            </w:pPr>
            <w:r>
              <w:rPr>
                <w:rFonts w:eastAsia="Times New Roman" w:cs="Arial"/>
                <w:b/>
                <w:bCs/>
                <w:szCs w:val="20"/>
                <w:lang w:eastAsia="cs-CZ"/>
              </w:rPr>
              <w:t xml:space="preserve">k.ú</w:t>
            </w:r>
            <w:r>
              <w:rPr>
                <w:rFonts w:eastAsia="Times New Roman" w:cs="Arial"/>
                <w:b/>
                <w:bCs/>
                <w:szCs w:val="20"/>
                <w:lang w:eastAsia="cs-CZ"/>
              </w:rPr>
              <w:t xml:space="preserve">.</w:t>
            </w:r>
            <w:r>
              <w:rPr>
                <w:rFonts w:eastAsia="Times New Roman" w:cs="Arial"/>
                <w:b/>
                <w:bCs/>
                <w:szCs w:val="20"/>
                <w:lang w:eastAsia="cs-CZ"/>
              </w:rPr>
            </w:r>
          </w:p>
        </w:tc>
        <w:tc>
          <w:tcPr>
            <w:shd w:val="clear" w:color="auto" w:fill="auto"/>
            <w:tcBorders/>
            <w:tcW w:w="882" w:type="dxa"/>
            <w:vAlign w:val="center"/>
            <w:textDirection w:val="lrTb"/>
            <w:noWrap w:val="false"/>
          </w:tcPr>
          <w:p>
            <w:pPr>
              <w:pBdr/>
              <w:spacing/>
              <w:ind/>
              <w:jc w:val="center"/>
              <w:rPr>
                <w:rFonts w:eastAsia="Times New Roman" w:cs="Arial"/>
                <w:b/>
                <w:bCs/>
                <w:szCs w:val="20"/>
                <w:lang w:eastAsia="cs-CZ"/>
              </w:rPr>
            </w:pPr>
            <w:r>
              <w:rPr>
                <w:rFonts w:eastAsia="Times New Roman" w:cs="Arial"/>
                <w:b/>
                <w:bCs/>
                <w:szCs w:val="20"/>
                <w:lang w:eastAsia="cs-CZ"/>
              </w:rPr>
              <w:t xml:space="preserve">Parcela KN</w:t>
            </w:r>
            <w:r>
              <w:rPr>
                <w:rFonts w:eastAsia="Times New Roman" w:cs="Arial"/>
                <w:b/>
                <w:bCs/>
                <w:szCs w:val="20"/>
                <w:lang w:eastAsia="cs-CZ"/>
              </w:rPr>
            </w:r>
          </w:p>
        </w:tc>
        <w:tc>
          <w:tcPr>
            <w:shd w:val="clear" w:color="auto" w:fill="auto"/>
            <w:tcBorders/>
            <w:tcW w:w="2719" w:type="dxa"/>
            <w:vAlign w:val="center"/>
            <w:textDirection w:val="lrTb"/>
            <w:noWrap w:val="false"/>
          </w:tcPr>
          <w:p>
            <w:pPr>
              <w:pBdr/>
              <w:spacing/>
              <w:ind/>
              <w:jc w:val="center"/>
              <w:rPr>
                <w:rFonts w:eastAsia="Times New Roman" w:cs="Arial"/>
                <w:b/>
                <w:bCs/>
                <w:szCs w:val="20"/>
                <w:lang w:eastAsia="cs-CZ"/>
              </w:rPr>
            </w:pPr>
            <w:r>
              <w:rPr>
                <w:rFonts w:eastAsia="Times New Roman" w:cs="Arial"/>
                <w:b/>
                <w:bCs/>
                <w:szCs w:val="20"/>
                <w:lang w:eastAsia="cs-CZ"/>
              </w:rPr>
              <w:t xml:space="preserve">druh pozemku / využití</w:t>
            </w:r>
            <w:r>
              <w:rPr>
                <w:rFonts w:eastAsia="Times New Roman" w:cs="Arial"/>
                <w:b/>
                <w:bCs/>
                <w:szCs w:val="20"/>
                <w:lang w:eastAsia="cs-CZ"/>
              </w:rPr>
            </w:r>
          </w:p>
        </w:tc>
        <w:tc>
          <w:tcPr>
            <w:tcBorders/>
            <w:tcW w:w="4039" w:type="dxa"/>
            <w:vAlign w:val="center"/>
            <w:textDirection w:val="lrTb"/>
            <w:noWrap w:val="false"/>
          </w:tcPr>
          <w:p>
            <w:pPr>
              <w:pBdr/>
              <w:spacing/>
              <w:ind/>
              <w:jc w:val="center"/>
              <w:rPr>
                <w:rFonts w:eastAsia="Times New Roman" w:cs="Arial"/>
                <w:b/>
                <w:bCs/>
                <w:szCs w:val="20"/>
                <w:lang w:eastAsia="cs-CZ"/>
              </w:rPr>
            </w:pPr>
            <w:r>
              <w:rPr>
                <w:rFonts w:eastAsia="Times New Roman" w:cs="Arial"/>
                <w:b/>
                <w:bCs/>
                <w:szCs w:val="20"/>
                <w:lang w:eastAsia="cs-CZ"/>
              </w:rPr>
              <w:t xml:space="preserve">Vlastník</w:t>
            </w:r>
            <w:r>
              <w:rPr>
                <w:rFonts w:eastAsia="Times New Roman" w:cs="Arial"/>
                <w:b/>
                <w:bCs/>
                <w:szCs w:val="20"/>
                <w:lang w:eastAsia="cs-CZ"/>
              </w:rPr>
            </w:r>
          </w:p>
        </w:tc>
      </w:tr>
      <w:tr>
        <w:trPr>
          <w:trHeight w:val="317" w:hRule="exact"/>
        </w:trPr>
        <w:tc>
          <w:tcPr>
            <w:tcBorders/>
            <w:tcW w:w="930" w:type="dxa"/>
            <w:textDirection w:val="lrTb"/>
            <w:noWrap w:val="false"/>
          </w:tcPr>
          <w:p>
            <w:pPr>
              <w:pBdr/>
              <w:spacing/>
              <w:ind/>
              <w:jc w:val="center"/>
              <w:rPr>
                <w:rFonts w:eastAsia="Times New Roman" w:cs="Arial"/>
                <w:szCs w:val="20"/>
                <w:lang w:eastAsia="cs-CZ"/>
              </w:rPr>
            </w:pPr>
            <w:r>
              <w:rPr>
                <w:rFonts w:eastAsia="Times New Roman" w:cs="Arial"/>
                <w:szCs w:val="20"/>
                <w:lang w:eastAsia="cs-CZ"/>
              </w:rPr>
              <w:t xml:space="preserve">Třebotov</w:t>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t xml:space="preserve">Třebotov</w:t>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t xml:space="preserve">Hostouň</w:t>
            </w:r>
            <w:r>
              <w:rPr>
                <w:rFonts w:eastAsia="Times New Roman" w:cs="Arial"/>
                <w:szCs w:val="20"/>
                <w:lang w:eastAsia="cs-CZ"/>
              </w:rPr>
            </w:r>
          </w:p>
        </w:tc>
        <w:tc>
          <w:tcPr>
            <w:tcBorders/>
            <w:tcW w:w="882"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St. 765</w:t>
            </w:r>
            <w:r>
              <w:rPr>
                <w:rFonts w:eastAsia="Times New Roman" w:cs="Arial"/>
                <w:szCs w:val="20"/>
                <w:lang w:eastAsia="cs-CZ"/>
              </w:rPr>
            </w:r>
          </w:p>
        </w:tc>
        <w:tc>
          <w:tcPr>
            <w:shd w:val="clear" w:color="auto" w:fill="auto"/>
            <w:tcBorders/>
            <w:tcW w:w="2719"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Zastavěná plocha a nádvoří</w:t>
            </w:r>
            <w:r>
              <w:rPr>
                <w:rFonts w:eastAsia="Times New Roman" w:cs="Arial"/>
                <w:szCs w:val="20"/>
                <w:lang w:eastAsia="cs-CZ"/>
              </w:rPr>
            </w:r>
          </w:p>
        </w:tc>
        <w:tc>
          <w:tcPr>
            <w:tcBorders/>
            <w:tcW w:w="4039"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Obec Třebotov, Klidná 69, 25226 Třebotov</w:t>
            </w:r>
            <w:r>
              <w:rPr>
                <w:rFonts w:eastAsia="Times New Roman" w:cs="Arial"/>
                <w:szCs w:val="20"/>
                <w:lang w:eastAsia="cs-CZ"/>
              </w:rPr>
            </w:r>
          </w:p>
        </w:tc>
      </w:tr>
      <w:tr>
        <w:trPr>
          <w:trHeight w:val="280" w:hRule="exact"/>
        </w:trPr>
        <w:tc>
          <w:tcPr>
            <w:tcBorders/>
            <w:tcW w:w="930" w:type="dxa"/>
            <w:textDirection w:val="lrTb"/>
            <w:noWrap w:val="false"/>
          </w:tcPr>
          <w:p>
            <w:pPr>
              <w:pBdr/>
              <w:spacing/>
              <w:ind/>
              <w:jc w:val="center"/>
              <w:rPr>
                <w:rFonts w:eastAsia="Times New Roman" w:cs="Arial"/>
                <w:szCs w:val="20"/>
                <w:lang w:eastAsia="cs-CZ"/>
              </w:rPr>
            </w:pPr>
            <w:r>
              <w:rPr>
                <w:rFonts w:eastAsia="Times New Roman" w:cs="Arial"/>
                <w:szCs w:val="20"/>
                <w:lang w:eastAsia="cs-CZ"/>
              </w:rPr>
              <w:t xml:space="preserve">Třebotov</w:t>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tc>
        <w:tc>
          <w:tcPr>
            <w:tcBorders/>
            <w:tcW w:w="882"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163/3</w:t>
            </w:r>
            <w:r>
              <w:rPr>
                <w:rFonts w:eastAsia="Times New Roman" w:cs="Arial"/>
                <w:szCs w:val="20"/>
                <w:lang w:eastAsia="cs-CZ"/>
              </w:rPr>
            </w:r>
          </w:p>
        </w:tc>
        <w:tc>
          <w:tcPr>
            <w:shd w:val="clear" w:color="auto" w:fill="auto"/>
            <w:tcBorders/>
            <w:tcW w:w="2719"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Ostatní plocha</w:t>
            </w:r>
            <w:r>
              <w:rPr>
                <w:rFonts w:eastAsia="Times New Roman" w:cs="Arial"/>
                <w:szCs w:val="20"/>
                <w:lang w:eastAsia="cs-CZ"/>
              </w:rPr>
            </w:r>
          </w:p>
        </w:tc>
        <w:tc>
          <w:tcPr>
            <w:tcBorders/>
            <w:tcW w:w="4039"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Obec Třebotov, Klidná 69, 25226 Třebotov</w:t>
            </w:r>
            <w:r>
              <w:rPr>
                <w:rFonts w:eastAsia="Times New Roman" w:cs="Arial"/>
                <w:szCs w:val="20"/>
                <w:lang w:eastAsia="cs-CZ"/>
              </w:rPr>
            </w:r>
          </w:p>
        </w:tc>
      </w:tr>
      <w:tr>
        <w:trPr>
          <w:trHeight w:val="283" w:hRule="exact"/>
        </w:trPr>
        <w:tc>
          <w:tcPr>
            <w:tcBorders/>
            <w:tcW w:w="930" w:type="dxa"/>
            <w:textDirection w:val="lrTb"/>
            <w:noWrap w:val="false"/>
          </w:tcPr>
          <w:p>
            <w:pPr>
              <w:pBdr/>
              <w:spacing/>
              <w:ind/>
              <w:jc w:val="center"/>
              <w:rPr>
                <w:rFonts w:eastAsia="Times New Roman" w:cs="Arial"/>
                <w:szCs w:val="20"/>
                <w:lang w:eastAsia="cs-CZ"/>
              </w:rPr>
            </w:pPr>
            <w:r>
              <w:rPr>
                <w:rFonts w:eastAsia="Times New Roman" w:cs="Arial"/>
                <w:szCs w:val="20"/>
                <w:lang w:eastAsia="cs-CZ"/>
              </w:rPr>
              <w:t xml:space="preserve">Třebotov</w:t>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tc>
        <w:tc>
          <w:tcPr>
            <w:tcBorders/>
            <w:tcW w:w="882" w:type="dxa"/>
            <w:textDirection w:val="lrTb"/>
            <w:noWrap w:val="false"/>
          </w:tcPr>
          <w:p>
            <w:pPr>
              <w:pBdr/>
              <w:spacing/>
              <w:ind/>
              <w:rPr/>
            </w:pPr>
            <w:r>
              <w:t xml:space="preserve">163/2</w:t>
            </w:r>
            <w:r/>
          </w:p>
        </w:tc>
        <w:tc>
          <w:tcPr>
            <w:shd w:val="clear" w:color="auto" w:fill="auto"/>
            <w:tcBorders/>
            <w:tcW w:w="2719" w:type="dxa"/>
            <w:textDirection w:val="lrTb"/>
            <w:noWrap w:val="false"/>
          </w:tcPr>
          <w:p>
            <w:pPr>
              <w:pBdr/>
              <w:spacing/>
              <w:ind/>
              <w:rPr/>
            </w:pPr>
            <w:r>
              <w:t xml:space="preserve">Orná půda</w:t>
            </w:r>
            <w:r/>
          </w:p>
        </w:tc>
        <w:tc>
          <w:tcPr>
            <w:tcBorders/>
            <w:tcW w:w="4039" w:type="dxa"/>
            <w:textDirection w:val="lrTb"/>
            <w:noWrap w:val="false"/>
          </w:tcPr>
          <w:p>
            <w:pPr>
              <w:pBdr/>
              <w:spacing/>
              <w:ind/>
              <w:rPr/>
            </w:pPr>
            <w:r>
              <w:rPr>
                <w:rFonts w:eastAsia="Times New Roman" w:cs="Arial"/>
                <w:szCs w:val="20"/>
                <w:lang w:eastAsia="cs-CZ"/>
              </w:rPr>
              <w:t xml:space="preserve">Obec Třebotov, Klidná 69, 25226 Třebotov</w:t>
            </w:r>
            <w:r/>
          </w:p>
        </w:tc>
      </w:tr>
      <w:tr>
        <w:trPr>
          <w:trHeight w:val="288" w:hRule="exact"/>
        </w:trPr>
        <w:tc>
          <w:tcPr>
            <w:tcBorders/>
            <w:tcW w:w="930" w:type="dxa"/>
            <w:textDirection w:val="lrTb"/>
            <w:noWrap w:val="false"/>
          </w:tcPr>
          <w:p>
            <w:pPr>
              <w:pBdr/>
              <w:spacing/>
              <w:ind/>
              <w:jc w:val="center"/>
              <w:rPr>
                <w:rFonts w:eastAsia="Times New Roman" w:cs="Arial"/>
                <w:szCs w:val="20"/>
                <w:lang w:eastAsia="cs-CZ"/>
              </w:rPr>
            </w:pPr>
            <w:r>
              <w:rPr>
                <w:rFonts w:eastAsia="Times New Roman" w:cs="Arial"/>
                <w:szCs w:val="20"/>
                <w:lang w:eastAsia="cs-CZ"/>
              </w:rPr>
              <w:t xml:space="preserve">Třebotov</w:t>
            </w:r>
            <w:r>
              <w:rPr>
                <w:rFonts w:eastAsia="Times New Roman" w:cs="Arial"/>
                <w:szCs w:val="20"/>
                <w:lang w:eastAsia="cs-CZ"/>
              </w:rPr>
            </w:r>
          </w:p>
          <w:p>
            <w:pPr>
              <w:pBdr/>
              <w:spacing/>
              <w:ind/>
              <w:jc w:val="center"/>
              <w:rPr>
                <w:rFonts w:eastAsia="Times New Roman" w:cs="Arial"/>
                <w:szCs w:val="20"/>
                <w:lang w:eastAsia="cs-CZ"/>
              </w:rPr>
            </w:pPr>
            <w:r>
              <w:rPr>
                <w:rFonts w:eastAsia="Times New Roman" w:cs="Arial"/>
                <w:szCs w:val="20"/>
                <w:lang w:eastAsia="cs-CZ"/>
              </w:rPr>
            </w:r>
            <w:r>
              <w:rPr>
                <w:rFonts w:eastAsia="Times New Roman" w:cs="Arial"/>
                <w:szCs w:val="20"/>
                <w:lang w:eastAsia="cs-CZ"/>
              </w:rPr>
            </w:r>
          </w:p>
        </w:tc>
        <w:tc>
          <w:tcPr>
            <w:tcBorders/>
            <w:tcW w:w="882"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605/1</w:t>
            </w:r>
            <w:r>
              <w:rPr>
                <w:rFonts w:eastAsia="Times New Roman" w:cs="Arial"/>
                <w:szCs w:val="20"/>
                <w:lang w:eastAsia="cs-CZ"/>
              </w:rPr>
            </w:r>
          </w:p>
        </w:tc>
        <w:tc>
          <w:tcPr>
            <w:shd w:val="clear" w:color="auto" w:fill="auto"/>
            <w:tcBorders/>
            <w:tcW w:w="2719"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Ostatní plocha, komunikace</w:t>
            </w:r>
            <w:r>
              <w:rPr>
                <w:rFonts w:eastAsia="Times New Roman" w:cs="Arial"/>
                <w:szCs w:val="20"/>
                <w:lang w:eastAsia="cs-CZ"/>
              </w:rPr>
            </w:r>
          </w:p>
        </w:tc>
        <w:tc>
          <w:tcPr>
            <w:tcBorders/>
            <w:tcW w:w="4039" w:type="dxa"/>
            <w:textDirection w:val="lrTb"/>
            <w:noWrap w:val="false"/>
          </w:tcPr>
          <w:p>
            <w:pPr>
              <w:pBdr/>
              <w:spacing/>
              <w:ind/>
              <w:rPr>
                <w:rFonts w:eastAsia="Times New Roman" w:cs="Arial"/>
                <w:szCs w:val="20"/>
                <w:lang w:eastAsia="cs-CZ"/>
              </w:rPr>
            </w:pPr>
            <w:r>
              <w:rPr>
                <w:rFonts w:eastAsia="Times New Roman" w:cs="Arial"/>
                <w:szCs w:val="20"/>
                <w:lang w:eastAsia="cs-CZ"/>
              </w:rPr>
              <w:t xml:space="preserve">Obec Třebotov, Klidná 69, 25226 Třebotov</w:t>
            </w:r>
            <w:r>
              <w:rPr>
                <w:rFonts w:eastAsia="Times New Roman" w:cs="Arial"/>
                <w:szCs w:val="20"/>
                <w:lang w:eastAsia="cs-CZ"/>
              </w:rPr>
            </w:r>
          </w:p>
        </w:tc>
      </w:tr>
    </w:tbl>
    <w:p>
      <w:pPr>
        <w:pBdr/>
        <w:spacing/>
        <w:ind/>
        <w:rPr>
          <w:sz w:val="22"/>
        </w:rPr>
      </w:pPr>
      <w:r>
        <w:rPr>
          <w:sz w:val="22"/>
        </w:rPr>
      </w:r>
      <w:r>
        <w:rPr>
          <w:sz w:val="22"/>
        </w:rPr>
      </w:r>
    </w:p>
    <w:p>
      <w:pPr>
        <w:pBdr/>
        <w:spacing/>
        <w:ind/>
        <w:rPr>
          <w:sz w:val="22"/>
        </w:rPr>
      </w:pPr>
      <w:r>
        <w:rPr>
          <w:sz w:val="22"/>
        </w:rPr>
      </w:r>
      <w:r>
        <w:rPr>
          <w:sz w:val="22"/>
        </w:rPr>
      </w:r>
    </w:p>
    <w:p>
      <w:pPr>
        <w:pStyle w:val="825"/>
        <w:numPr>
          <w:ilvl w:val="2"/>
          <w:numId w:val="16"/>
        </w:numPr>
        <w:pBdr/>
        <w:spacing/>
        <w:ind w:hanging="567" w:left="567"/>
        <w:rPr>
          <w:sz w:val="22"/>
          <w:u w:val="single"/>
        </w:rPr>
      </w:pPr>
      <w:r>
        <w:rPr>
          <w:sz w:val="22"/>
          <w:u w:val="single"/>
        </w:rPr>
        <w:t xml:space="preserve">navrhované parametry stavby – například základní rozměry, maximální množství dopravovaného média,</w:t>
      </w:r>
      <w:r>
        <w:rPr>
          <w:sz w:val="22"/>
          <w:u w:val="single"/>
        </w:rPr>
      </w:r>
    </w:p>
    <w:p>
      <w:pPr>
        <w:pBdr/>
        <w:spacing/>
        <w:ind w:firstLine="567"/>
        <w:rPr>
          <w:sz w:val="22"/>
        </w:rPr>
      </w:pPr>
      <w:r>
        <w:rPr>
          <w:sz w:val="22"/>
        </w:rPr>
        <w:t xml:space="preserve">Celková kapacita objektu ČOV po stavebních úpravách bude 2500 EO. Návrh kapacity vychází ze stavu vytíženosti stávající ČOV (kapacitně napl</w:t>
      </w:r>
      <w:r>
        <w:rPr>
          <w:sz w:val="22"/>
        </w:rPr>
        <w:t xml:space="preserve">něna) a rozvoje obce Třebotov. Hodnota 2500 EO byla projektována na základě požadavku obce Třebotov po konzultaci s provozovatelem objektu ČOV – Vodovody a kanalizace Beroun, a.s. V návrhu je uvažováno s projektovaným připojením výtlaku kanalizace z části </w:t>
      </w:r>
      <w:r>
        <w:rPr>
          <w:sz w:val="22"/>
        </w:rPr>
        <w:t xml:space="preserve">Solopisky</w:t>
      </w:r>
      <w:r>
        <w:rPr>
          <w:sz w:val="22"/>
        </w:rPr>
        <w:t xml:space="preserve">. Kapacity jednotlivých zařízení objektu ČOV byly stanoveny na základě hydrotechnických výpočtů. </w:t>
      </w:r>
      <w:r>
        <w:rPr>
          <w:sz w:val="22"/>
        </w:rPr>
      </w:r>
    </w:p>
    <w:p>
      <w:pPr>
        <w:pStyle w:val="825"/>
        <w:numPr>
          <w:ilvl w:val="2"/>
          <w:numId w:val="16"/>
        </w:numPr>
        <w:pBdr/>
        <w:spacing/>
        <w:ind w:hanging="567" w:left="567"/>
        <w:rPr>
          <w:sz w:val="22"/>
          <w:u w:val="single"/>
        </w:rPr>
      </w:pPr>
      <w:r>
        <w:rPr>
          <w:sz w:val="22"/>
          <w:u w:val="single"/>
        </w:rPr>
        <w:t xml:space="preserve">limitní bilance stavby – potřeby a spotřeby médií a hmot, hospodaření se srážkovou vodou, celkové produkované množství, druhy a kategorie odpadů a emisí apod.,</w:t>
      </w:r>
      <w:r>
        <w:rPr>
          <w:sz w:val="22"/>
          <w:u w:val="single"/>
        </w:rPr>
      </w:r>
    </w:p>
    <w:p>
      <w:pPr>
        <w:pBdr/>
        <w:spacing/>
        <w:ind w:firstLine="567"/>
        <w:rPr>
          <w:sz w:val="22"/>
        </w:rPr>
      </w:pPr>
      <w:r>
        <w:rPr>
          <w:sz w:val="22"/>
        </w:rPr>
        <w:t xml:space="preserve">Požadovaný </w:t>
      </w:r>
      <w:r>
        <w:rPr>
          <w:sz w:val="22"/>
        </w:rPr>
        <w:t xml:space="preserve">instalovaný příkon technologie je 63 kW, soudobý příkon je 49 kW. </w:t>
      </w:r>
      <w:r>
        <w:rPr>
          <w:sz w:val="22"/>
        </w:rPr>
      </w:r>
    </w:p>
    <w:p>
      <w:pPr>
        <w:pBdr/>
        <w:spacing/>
        <w:ind w:firstLine="567"/>
        <w:rPr>
          <w:sz w:val="22"/>
        </w:rPr>
      </w:pPr>
      <w:r>
        <w:rPr>
          <w:sz w:val="22"/>
        </w:rPr>
        <w:t xml:space="preserve">Dešťová voda ze střechy objektu nové </w:t>
      </w:r>
      <w:r>
        <w:rPr>
          <w:sz w:val="22"/>
        </w:rPr>
        <w:t xml:space="preserve">kalolisovny</w:t>
      </w:r>
      <w:r>
        <w:rPr>
          <w:sz w:val="22"/>
        </w:rPr>
        <w:t xml:space="preserve"> bude odváděna do stávajícího odvodňovacího žlabu u svahu, severně od oplocení stávají</w:t>
      </w:r>
      <w:r>
        <w:rPr>
          <w:sz w:val="22"/>
        </w:rPr>
        <w:t xml:space="preserve">cího objektu ČOV. Ze střechy nového objektu ČOV bude dešťová voda svedena ležatými svody PVC DN125 podél budovy do nového vsakovacího drénu pod náspem objektu ČOV. Jedná se o přítok max. 2,4 l/s a to po dobu srážky 15 minut. Objem návrhové srážky je 2,16 m</w:t>
      </w:r>
      <w:r>
        <w:rPr>
          <w:sz w:val="22"/>
          <w:vertAlign w:val="superscript"/>
        </w:rPr>
        <w:t xml:space="preserve">3</w:t>
      </w:r>
      <w:r>
        <w:rPr>
          <w:sz w:val="22"/>
        </w:rPr>
        <w:t xml:space="preserve">.</w:t>
      </w:r>
      <w:r>
        <w:rPr>
          <w:sz w:val="22"/>
        </w:rPr>
      </w:r>
    </w:p>
    <w:p>
      <w:pPr>
        <w:pBdr/>
        <w:spacing/>
        <w:ind w:firstLine="567"/>
        <w:rPr>
          <w:sz w:val="22"/>
        </w:rPr>
      </w:pPr>
      <w:r>
        <w:rPr>
          <w:sz w:val="22"/>
        </w:rPr>
        <w:t xml:space="preserve">Objem vsakovacího drénu je vyplněn 10 m</w:t>
      </w:r>
      <w:r>
        <w:rPr>
          <w:sz w:val="22"/>
          <w:vertAlign w:val="superscript"/>
        </w:rPr>
        <w:t xml:space="preserve">3</w:t>
      </w:r>
      <w:r>
        <w:rPr>
          <w:sz w:val="22"/>
        </w:rPr>
        <w:t xml:space="preserve"> hrubého štěrku fr. 125 mm a více. Rozměry vsakovacího drénu jsou dl. 10 m, hl. 1,0 m, šířka rýhy je 1,0 m. </w:t>
      </w:r>
      <w:r>
        <w:rPr>
          <w:sz w:val="22"/>
        </w:rPr>
        <w:t xml:space="preserve">Kamenivo ve vsakovacím drénu bude obaleno </w:t>
      </w:r>
      <w:r>
        <w:rPr>
          <w:sz w:val="22"/>
        </w:rPr>
        <w:t xml:space="preserve">geotextilií</w:t>
      </w:r>
      <w:r>
        <w:rPr>
          <w:sz w:val="22"/>
        </w:rPr>
        <w:t xml:space="preserve"> – 300g/m</w:t>
      </w:r>
      <w:r>
        <w:rPr>
          <w:sz w:val="22"/>
          <w:vertAlign w:val="superscript"/>
        </w:rPr>
        <w:t xml:space="preserve">2</w:t>
      </w:r>
      <w:r>
        <w:rPr>
          <w:sz w:val="22"/>
        </w:rPr>
        <w:t xml:space="preserve">. Mezerovitost bude min. 25%, retenční objem rýhy je 2,5 m</w:t>
      </w:r>
      <w:r>
        <w:rPr>
          <w:sz w:val="22"/>
          <w:vertAlign w:val="superscript"/>
        </w:rPr>
        <w:t xml:space="preserve">3</w:t>
      </w:r>
      <w:r>
        <w:rPr>
          <w:sz w:val="22"/>
        </w:rPr>
        <w:t xml:space="preserve">. </w:t>
      </w:r>
      <w:r>
        <w:rPr>
          <w:sz w:val="22"/>
        </w:rPr>
      </w:r>
    </w:p>
    <w:p>
      <w:pPr>
        <w:pBdr/>
        <w:spacing/>
        <w:ind w:firstLine="567"/>
        <w:rPr>
          <w:sz w:val="22"/>
        </w:rPr>
      </w:pPr>
      <w:r>
        <w:rPr>
          <w:sz w:val="22"/>
        </w:rPr>
        <w:t xml:space="preserve">Spočtená doba vsaku je pro dané zařízení při odhadu koeficientu propustnosti </w:t>
      </w:r>
      <w:r>
        <w:rPr>
          <w:sz w:val="22"/>
        </w:rPr>
        <w:t xml:space="preserve">k=5 x10-6  cca 71,5 hodin, to jest méně nežli požadovaných 72 hodin.</w:t>
      </w:r>
      <w:r>
        <w:rPr>
          <w:sz w:val="22"/>
        </w:rPr>
        <w:t xml:space="preserve"> V případě extrémní srážky dojde k přeronu z drénu do přilehlé louky pod ČOV (viz elaborát RNDr. Tomáše Vrány). </w:t>
      </w:r>
      <w:r>
        <w:rPr>
          <w:sz w:val="22"/>
        </w:rPr>
      </w:r>
    </w:p>
    <w:p>
      <w:pPr>
        <w:pBdr/>
        <w:spacing/>
        <w:ind/>
        <w:rPr>
          <w:sz w:val="22"/>
          <w:u w:val="single"/>
        </w:rPr>
      </w:pPr>
      <w:r>
        <w:rPr>
          <w:sz w:val="22"/>
          <w:u w:val="single"/>
        </w:rPr>
        <w:t xml:space="preserve">Celkové produkované množství a druhy odpadů a emisí:</w:t>
      </w:r>
      <w:r>
        <w:rPr>
          <w:sz w:val="22"/>
          <w:u w:val="single"/>
        </w:rPr>
      </w:r>
    </w:p>
    <w:p>
      <w:pPr>
        <w:pBdr/>
        <w:spacing/>
        <w:ind w:firstLine="708"/>
        <w:rPr>
          <w:sz w:val="22"/>
        </w:rPr>
      </w:pPr>
      <w:r>
        <w:rPr>
          <w:sz w:val="22"/>
        </w:rPr>
        <w:t xml:space="preserve">Stavba nebude produkovat žádný odpad. V rámci stavebních prací vznikne stavební odpad, s nímž bude naloženo ve smyslu zákona č. 541/2020 SB. Při přejímce stavby </w:t>
      </w:r>
      <w:r>
        <w:rPr>
          <w:sz w:val="22"/>
        </w:rPr>
        <w:t xml:space="preserve">zhotovitel díla předá doklady o likvidaci odpadů investorovi, který je předloží při kolaudaci díla. Původce odpadu (Vyhláška MŽP č. 381ú2001 Sb., kterou se stanoví Katalog odpadů, Seznam nebezpečných odpadů a seznamy odpadů a států pro účely vývozu atd.). </w:t>
      </w:r>
      <w:r>
        <w:rPr>
          <w:sz w:val="22"/>
        </w:rPr>
      </w:r>
    </w:p>
    <w:p>
      <w:pPr>
        <w:pBdr/>
        <w:spacing/>
        <w:ind w:firstLine="708"/>
        <w:rPr>
          <w:sz w:val="22"/>
        </w:rPr>
      </w:pPr>
      <w:r>
        <w:rPr>
          <w:sz w:val="22"/>
        </w:rPr>
        <w:t xml:space="preserve">S odpady, které jsou v Katalogu odpadů ozna</w:t>
      </w:r>
      <w:r>
        <w:rPr>
          <w:sz w:val="22"/>
        </w:rPr>
        <w:t xml:space="preserve">čeny jako nebezpečné, je původce odpadu povinen nakládat jako s odpady nebezpečnými, pokud původce nebo oprávněná osoba k nakládání s odpady neprokáže stanoveným způsobem, že tento odpad nemá nebezpečné vlastnosti vedené v příloze 2 výše uvedeného zákona. </w:t>
      </w:r>
      <w:r>
        <w:rPr>
          <w:sz w:val="22"/>
        </w:rPr>
      </w:r>
    </w:p>
    <w:p>
      <w:pPr>
        <w:pBdr/>
        <w:spacing w:after="0"/>
        <w:ind/>
        <w:rPr>
          <w:b/>
          <w:sz w:val="22"/>
        </w:rPr>
      </w:pPr>
      <w:r>
        <w:rPr>
          <w:b/>
          <w:sz w:val="22"/>
        </w:rPr>
        <w:t xml:space="preserve">Zařazení odpadu (dle Katalogu odpadů)</w:t>
      </w:r>
      <w:r>
        <w:rPr>
          <w:b/>
          <w:sz w:val="22"/>
        </w:rPr>
      </w:r>
    </w:p>
    <w:p>
      <w:pPr>
        <w:pBdr/>
        <w:spacing w:after="0"/>
        <w:ind/>
        <w:rPr/>
      </w:pPr>
      <w:r>
        <w:rPr>
          <w:sz w:val="22"/>
        </w:rPr>
        <w:tab/>
      </w:r>
      <w:r>
        <w:t xml:space="preserve">Název druhu odpadu</w:t>
      </w:r>
      <w:r>
        <w:tab/>
      </w:r>
      <w:r>
        <w:tab/>
      </w:r>
      <w:r>
        <w:tab/>
      </w:r>
      <w:r>
        <w:tab/>
        <w:t xml:space="preserve">Kód druhu odpadu</w:t>
      </w:r>
      <w:r>
        <w:tab/>
        <w:t xml:space="preserve">Kategorie odpadu</w:t>
      </w:r>
      <w:r/>
    </w:p>
    <w:p>
      <w:pPr>
        <w:pBdr/>
        <w:spacing w:after="0"/>
        <w:ind/>
        <w:rPr/>
      </w:pPr>
      <w:r>
        <w:t xml:space="preserve">plastové obaly</w:t>
      </w:r>
      <w:r>
        <w:tab/>
      </w:r>
      <w:r>
        <w:tab/>
      </w:r>
      <w:r>
        <w:tab/>
      </w:r>
      <w:r>
        <w:tab/>
      </w:r>
      <w:r>
        <w:tab/>
      </w:r>
      <w:r>
        <w:tab/>
      </w:r>
      <w:r>
        <w:tab/>
        <w:t xml:space="preserve">15 01 02</w:t>
      </w:r>
      <w:r>
        <w:tab/>
      </w:r>
      <w:r>
        <w:tab/>
      </w:r>
      <w:r>
        <w:tab/>
        <w:t xml:space="preserve">O</w:t>
      </w:r>
      <w:r/>
    </w:p>
    <w:p>
      <w:pPr>
        <w:pBdr/>
        <w:spacing w:after="0"/>
        <w:ind/>
        <w:rPr/>
      </w:pPr>
      <w:r>
        <w:t xml:space="preserve">kovové obaly</w:t>
      </w:r>
      <w:r>
        <w:tab/>
      </w:r>
      <w:r>
        <w:tab/>
      </w:r>
      <w:r>
        <w:tab/>
      </w:r>
      <w:r>
        <w:tab/>
      </w:r>
      <w:r>
        <w:tab/>
      </w:r>
      <w:r>
        <w:tab/>
      </w:r>
      <w:r>
        <w:tab/>
        <w:t xml:space="preserve">15 01 04</w:t>
      </w:r>
      <w:r>
        <w:tab/>
      </w:r>
      <w:r>
        <w:tab/>
      </w:r>
      <w:r>
        <w:tab/>
        <w:t xml:space="preserve">O</w:t>
      </w:r>
      <w:r/>
    </w:p>
    <w:p>
      <w:pPr>
        <w:pBdr/>
        <w:spacing w:after="0"/>
        <w:ind/>
        <w:rPr/>
      </w:pPr>
      <w:r>
        <w:t xml:space="preserve">směsné obaly</w:t>
      </w:r>
      <w:r>
        <w:tab/>
      </w:r>
      <w:r>
        <w:tab/>
      </w:r>
      <w:r>
        <w:tab/>
      </w:r>
      <w:r>
        <w:tab/>
      </w:r>
      <w:r>
        <w:tab/>
      </w:r>
      <w:r>
        <w:tab/>
      </w:r>
      <w:r>
        <w:tab/>
        <w:t xml:space="preserve">15 01 06</w:t>
      </w:r>
      <w:r>
        <w:tab/>
      </w:r>
      <w:r>
        <w:tab/>
      </w:r>
      <w:r>
        <w:tab/>
        <w:t xml:space="preserve">O</w:t>
      </w:r>
      <w:r/>
    </w:p>
    <w:p>
      <w:pPr>
        <w:pBdr/>
        <w:spacing w:after="0"/>
        <w:ind/>
        <w:rPr/>
      </w:pPr>
      <w:r>
        <w:t xml:space="preserve">kovové obaly</w:t>
      </w:r>
      <w:r>
        <w:tab/>
      </w:r>
      <w:r>
        <w:tab/>
      </w:r>
      <w:r>
        <w:tab/>
      </w:r>
      <w:r>
        <w:tab/>
      </w:r>
      <w:r>
        <w:tab/>
      </w:r>
      <w:r>
        <w:tab/>
      </w:r>
      <w:r>
        <w:tab/>
        <w:t xml:space="preserve">15 01 04</w:t>
      </w:r>
      <w:r>
        <w:tab/>
      </w:r>
      <w:r>
        <w:tab/>
      </w:r>
      <w:r>
        <w:tab/>
        <w:t xml:space="preserve">O</w:t>
      </w:r>
      <w:r/>
    </w:p>
    <w:p>
      <w:pPr>
        <w:pBdr/>
        <w:spacing w:after="0"/>
        <w:ind/>
        <w:rPr/>
      </w:pPr>
      <w:r>
        <w:t xml:space="preserve">beton</w:t>
      </w:r>
      <w:r>
        <w:tab/>
      </w:r>
      <w:r>
        <w:tab/>
      </w:r>
      <w:r>
        <w:tab/>
      </w:r>
      <w:r>
        <w:tab/>
      </w:r>
      <w:r>
        <w:tab/>
      </w:r>
      <w:r>
        <w:tab/>
      </w:r>
      <w:r>
        <w:tab/>
      </w:r>
      <w:r>
        <w:tab/>
        <w:t xml:space="preserve">17 01 01</w:t>
      </w:r>
      <w:r>
        <w:tab/>
      </w:r>
      <w:r>
        <w:tab/>
      </w:r>
      <w:r>
        <w:tab/>
        <w:t xml:space="preserve">O</w:t>
      </w:r>
      <w:r/>
    </w:p>
    <w:p>
      <w:pPr>
        <w:pBdr/>
        <w:spacing w:after="0"/>
        <w:ind/>
        <w:rPr/>
      </w:pPr>
      <w:r>
        <w:t xml:space="preserve">cihly</w:t>
      </w:r>
      <w:r>
        <w:tab/>
      </w:r>
      <w:r>
        <w:tab/>
      </w:r>
      <w:r>
        <w:tab/>
      </w:r>
      <w:r>
        <w:tab/>
      </w:r>
      <w:r>
        <w:tab/>
      </w:r>
      <w:r>
        <w:tab/>
      </w:r>
      <w:r>
        <w:tab/>
      </w:r>
      <w:r>
        <w:tab/>
        <w:t xml:space="preserve">17 01 02</w:t>
      </w:r>
      <w:r>
        <w:tab/>
      </w:r>
      <w:r>
        <w:tab/>
      </w:r>
      <w:r>
        <w:tab/>
        <w:t xml:space="preserve">O</w:t>
      </w:r>
      <w:r/>
    </w:p>
    <w:p>
      <w:pPr>
        <w:pBdr/>
        <w:spacing w:after="0"/>
        <w:ind/>
        <w:rPr/>
      </w:pPr>
      <w:r>
        <w:t xml:space="preserve">dřevo</w:t>
      </w:r>
      <w:r>
        <w:tab/>
      </w:r>
      <w:r>
        <w:tab/>
      </w:r>
      <w:r>
        <w:tab/>
      </w:r>
      <w:r>
        <w:tab/>
      </w:r>
      <w:r>
        <w:tab/>
      </w:r>
      <w:r>
        <w:tab/>
      </w:r>
      <w:r>
        <w:tab/>
      </w:r>
      <w:r>
        <w:tab/>
        <w:t xml:space="preserve">17 02 01</w:t>
      </w:r>
      <w:r>
        <w:tab/>
      </w:r>
      <w:r>
        <w:tab/>
      </w:r>
      <w:r>
        <w:tab/>
        <w:t xml:space="preserve">O</w:t>
      </w:r>
      <w:r/>
    </w:p>
    <w:p>
      <w:pPr>
        <w:pBdr/>
        <w:spacing w:after="0"/>
        <w:ind/>
        <w:rPr/>
      </w:pPr>
      <w:r>
        <w:t xml:space="preserve">asfalt s obsahem dehtu</w:t>
      </w:r>
      <w:r>
        <w:tab/>
      </w:r>
      <w:r>
        <w:tab/>
      </w:r>
      <w:r>
        <w:tab/>
      </w:r>
      <w:r>
        <w:tab/>
      </w:r>
      <w:r>
        <w:tab/>
      </w:r>
      <w:r>
        <w:tab/>
      </w:r>
      <w:r>
        <w:t xml:space="preserve">17 03 01</w:t>
      </w:r>
      <w:r>
        <w:tab/>
      </w:r>
      <w:r>
        <w:tab/>
      </w:r>
      <w:r>
        <w:tab/>
        <w:t xml:space="preserve">N</w:t>
      </w:r>
      <w:r/>
    </w:p>
    <w:p>
      <w:pPr>
        <w:pBdr/>
        <w:spacing w:after="0"/>
        <w:ind/>
        <w:rPr/>
      </w:pPr>
      <w:r>
        <w:t xml:space="preserve">asfalt bez dehtu</w:t>
      </w:r>
      <w:r>
        <w:tab/>
      </w:r>
      <w:r>
        <w:tab/>
      </w:r>
      <w:r>
        <w:tab/>
      </w:r>
      <w:r>
        <w:tab/>
      </w:r>
      <w:r>
        <w:tab/>
      </w:r>
      <w:r>
        <w:tab/>
      </w:r>
      <w:r>
        <w:tab/>
      </w:r>
      <w:r>
        <w:t xml:space="preserve">17 03 02</w:t>
      </w:r>
      <w:r>
        <w:tab/>
      </w:r>
      <w:r>
        <w:tab/>
      </w:r>
      <w:r>
        <w:tab/>
        <w:t xml:space="preserve">O</w:t>
      </w:r>
      <w:r/>
    </w:p>
    <w:p>
      <w:pPr>
        <w:pBdr/>
        <w:spacing w:after="0"/>
        <w:ind/>
        <w:rPr/>
      </w:pPr>
      <w:r>
        <w:t xml:space="preserve">zemina a kameny</w:t>
      </w:r>
      <w:r>
        <w:tab/>
      </w:r>
      <w:r>
        <w:tab/>
      </w:r>
      <w:r>
        <w:tab/>
      </w:r>
      <w:r>
        <w:tab/>
      </w:r>
      <w:r>
        <w:tab/>
      </w:r>
      <w:r>
        <w:tab/>
        <w:t xml:space="preserve">17 05 04</w:t>
      </w:r>
      <w:r>
        <w:tab/>
      </w:r>
      <w:r>
        <w:tab/>
      </w:r>
      <w:r>
        <w:tab/>
        <w:t xml:space="preserve">O</w:t>
      </w:r>
      <w:r/>
    </w:p>
    <w:p>
      <w:pPr>
        <w:pBdr/>
        <w:spacing w:after="0"/>
        <w:ind/>
        <w:rPr/>
      </w:pPr>
      <w:r>
        <w:t xml:space="preserve">izolační materiály ostatní</w:t>
      </w:r>
      <w:r>
        <w:tab/>
      </w:r>
      <w:r>
        <w:tab/>
      </w:r>
      <w:r>
        <w:tab/>
      </w:r>
      <w:r>
        <w:tab/>
      </w:r>
      <w:r>
        <w:tab/>
        <w:t xml:space="preserve">17 06 04</w:t>
      </w:r>
      <w:r>
        <w:tab/>
      </w:r>
      <w:r>
        <w:tab/>
      </w:r>
      <w:r>
        <w:tab/>
        <w:t xml:space="preserve">O</w:t>
      </w:r>
      <w:r/>
    </w:p>
    <w:p>
      <w:pPr>
        <w:pBdr/>
        <w:spacing w:after="0"/>
        <w:ind/>
        <w:rPr/>
      </w:pPr>
      <w:r>
        <w:t xml:space="preserve">směsný stavební a demoliční odpad</w:t>
      </w:r>
      <w:r>
        <w:tab/>
      </w:r>
      <w:r>
        <w:tab/>
      </w:r>
      <w:r>
        <w:tab/>
      </w:r>
      <w:r>
        <w:tab/>
        <w:t xml:space="preserve">17 09 04</w:t>
      </w:r>
      <w:r>
        <w:tab/>
      </w:r>
      <w:r>
        <w:tab/>
      </w:r>
      <w:r>
        <w:tab/>
        <w:t xml:space="preserve">O</w:t>
      </w:r>
      <w:r/>
    </w:p>
    <w:p>
      <w:pPr>
        <w:pBdr/>
        <w:spacing w:after="0"/>
        <w:ind/>
        <w:rPr/>
      </w:pPr>
      <w:r>
        <w:t xml:space="preserve">železo a ocel</w:t>
      </w:r>
      <w:r>
        <w:tab/>
      </w:r>
      <w:r>
        <w:tab/>
      </w:r>
      <w:r>
        <w:tab/>
      </w:r>
      <w:r>
        <w:tab/>
      </w:r>
      <w:r>
        <w:tab/>
      </w:r>
      <w:r>
        <w:tab/>
      </w:r>
      <w:r>
        <w:tab/>
        <w:t xml:space="preserve">17 04 05</w:t>
      </w:r>
      <w:r>
        <w:tab/>
      </w:r>
      <w:r>
        <w:tab/>
      </w:r>
      <w:r>
        <w:tab/>
        <w:t xml:space="preserve">O</w:t>
      </w:r>
      <w:r/>
    </w:p>
    <w:p>
      <w:pPr>
        <w:pBdr/>
        <w:spacing w:after="0"/>
        <w:ind/>
        <w:rPr/>
      </w:pPr>
      <w:r>
        <w:t xml:space="preserve">směsný komunální odpad</w:t>
      </w:r>
      <w:r>
        <w:tab/>
      </w:r>
      <w:r>
        <w:tab/>
      </w:r>
      <w:r>
        <w:tab/>
      </w:r>
      <w:r>
        <w:tab/>
      </w:r>
      <w:r>
        <w:tab/>
        <w:t xml:space="preserve">20 03 01</w:t>
      </w:r>
      <w:r>
        <w:tab/>
      </w:r>
      <w:r>
        <w:tab/>
      </w:r>
      <w:r>
        <w:tab/>
        <w:t xml:space="preserve">O</w:t>
      </w:r>
      <w:r/>
    </w:p>
    <w:p>
      <w:pPr>
        <w:pBdr/>
        <w:spacing w:after="0"/>
        <w:ind/>
        <w:rPr/>
      </w:pPr>
      <w:r>
        <w:tab/>
      </w:r>
      <w:r>
        <w:tab/>
      </w:r>
      <w:r>
        <w:tab/>
      </w:r>
      <w:r>
        <w:tab/>
      </w:r>
      <w:r>
        <w:tab/>
      </w:r>
      <w:r>
        <w:tab/>
      </w:r>
      <w:r>
        <w:tab/>
        <w:t xml:space="preserve">O – ostatní odpad; N – nebezpečný odpad</w:t>
      </w:r>
      <w:r/>
    </w:p>
    <w:p>
      <w:pPr>
        <w:pStyle w:val="825"/>
        <w:pBdr/>
        <w:spacing/>
        <w:ind w:hanging="567" w:left="567"/>
        <w:rPr>
          <w:sz w:val="22"/>
        </w:rPr>
      </w:pPr>
      <w:r>
        <w:rPr>
          <w:sz w:val="22"/>
        </w:rPr>
      </w:r>
      <w:r>
        <w:rPr>
          <w:sz w:val="22"/>
        </w:rPr>
      </w:r>
    </w:p>
    <w:p>
      <w:pPr>
        <w:pStyle w:val="825"/>
        <w:numPr>
          <w:ilvl w:val="2"/>
          <w:numId w:val="16"/>
        </w:numPr>
        <w:pBdr/>
        <w:spacing/>
        <w:ind w:hanging="567" w:left="567"/>
        <w:rPr>
          <w:sz w:val="22"/>
          <w:u w:val="single"/>
        </w:rPr>
      </w:pPr>
      <w:r>
        <w:rPr>
          <w:sz w:val="22"/>
          <w:u w:val="single"/>
        </w:rPr>
        <w:t xml:space="preserve">požadavky na kapacity veřejných sítí komunikačních vedení a elektronického komunikačního zařízení veřejné komunikační sítě,</w:t>
      </w:r>
      <w:r>
        <w:rPr>
          <w:sz w:val="22"/>
          <w:u w:val="single"/>
        </w:rPr>
      </w:r>
    </w:p>
    <w:p>
      <w:pPr>
        <w:pBdr/>
        <w:spacing/>
        <w:ind w:firstLine="567"/>
        <w:rPr>
          <w:sz w:val="22"/>
        </w:rPr>
      </w:pPr>
      <w:r>
        <w:rPr>
          <w:sz w:val="22"/>
        </w:rPr>
        <w:t xml:space="preserve">Nemění se. </w:t>
      </w:r>
      <w:r>
        <w:rPr>
          <w:sz w:val="22"/>
        </w:rPr>
        <w:t xml:space="preserve">Nově navržené stavební objekty budou napojeny na stávající technickou infrastrukturu objektu ČOV. Součástí této projektové dokumentace je </w:t>
      </w:r>
      <w:r>
        <w:rPr>
          <w:sz w:val="22"/>
        </w:rPr>
        <w:t xml:space="preserve">elektro část, kde jsou řešeny elektroinstalace v novém objektu SO 01 – </w:t>
      </w:r>
      <w:r>
        <w:rPr>
          <w:sz w:val="22"/>
        </w:rPr>
        <w:t xml:space="preserve">kalolisovna</w:t>
      </w:r>
      <w:r>
        <w:rPr>
          <w:sz w:val="22"/>
        </w:rPr>
        <w:t xml:space="preserve"> a SO 02 – nová budova ČOV. Nedílnou součástí </w:t>
      </w:r>
      <w:r>
        <w:rPr>
          <w:sz w:val="22"/>
        </w:rPr>
        <w:t xml:space="preserve">elektročásti</w:t>
      </w:r>
      <w:r>
        <w:rPr>
          <w:sz w:val="22"/>
        </w:rPr>
        <w:t xml:space="preserve"> je i protokol o určení vnějších vlivů. </w:t>
      </w:r>
      <w:r>
        <w:rPr>
          <w:sz w:val="22"/>
        </w:rPr>
      </w:r>
    </w:p>
    <w:p>
      <w:pPr>
        <w:pStyle w:val="825"/>
        <w:numPr>
          <w:ilvl w:val="2"/>
          <w:numId w:val="16"/>
        </w:numPr>
        <w:pBdr/>
        <w:spacing/>
        <w:ind w:hanging="567" w:left="567"/>
        <w:rPr>
          <w:sz w:val="22"/>
          <w:u w:val="single"/>
        </w:rPr>
      </w:pPr>
      <w:r>
        <w:rPr>
          <w:sz w:val="22"/>
          <w:u w:val="single"/>
        </w:rPr>
        <w:t xml:space="preserve">základní předpoklady výstavby – časové údaje o realizaci stavby, členění na etapy, věcné a časové vazby stavby, podmiňující, vyvolané a související investice,</w:t>
      </w:r>
      <w:r>
        <w:rPr>
          <w:sz w:val="22"/>
          <w:u w:val="single"/>
        </w:rPr>
      </w:r>
    </w:p>
    <w:p>
      <w:pPr>
        <w:pStyle w:val="825"/>
        <w:pBdr/>
        <w:spacing/>
        <w:ind w:hanging="567" w:left="567"/>
        <w:rPr>
          <w:sz w:val="22"/>
          <w:u w:val="single"/>
        </w:rPr>
      </w:pPr>
      <w:r>
        <w:rPr>
          <w:sz w:val="22"/>
          <w:u w:val="single"/>
        </w:rPr>
      </w:r>
      <w:r>
        <w:rPr>
          <w:sz w:val="22"/>
          <w:u w:val="single"/>
        </w:rPr>
      </w:r>
    </w:p>
    <w:p>
      <w:pPr>
        <w:pStyle w:val="825"/>
        <w:pBdr/>
        <w:spacing/>
        <w:ind w:firstLine="567" w:left="0"/>
        <w:rPr>
          <w:sz w:val="22"/>
          <w:szCs w:val="22"/>
          <w:highlight w:val="none"/>
        </w:rPr>
      </w:pPr>
      <w:r>
        <w:rPr>
          <w:sz w:val="22"/>
        </w:rPr>
        <w:t xml:space="preserve">Stavba může být realizována v jedné etapě. </w:t>
      </w:r>
      <w:r>
        <w:rPr>
          <w:sz w:val="22"/>
          <w:szCs w:val="22"/>
          <w:highlight w:val="none"/>
        </w:rPr>
      </w:r>
    </w:p>
    <w:p>
      <w:pPr>
        <w:pStyle w:val="825"/>
        <w:pBdr/>
        <w:spacing/>
        <w:ind w:firstLine="567" w:left="0"/>
        <w:rPr>
          <w:sz w:val="22"/>
          <w:szCs w:val="22"/>
          <w:highlight w:val="none"/>
        </w:rPr>
      </w:pPr>
      <w:r>
        <w:rPr>
          <w:sz w:val="22"/>
          <w:highlight w:val="none"/>
        </w:rPr>
      </w:r>
      <w:r>
        <w:rPr>
          <w:sz w:val="22"/>
          <w:highlight w:val="none"/>
        </w:rPr>
      </w:r>
      <w:r>
        <w:rPr>
          <w:sz w:val="22"/>
          <w:highlight w:val="none"/>
        </w:rPr>
      </w:r>
    </w:p>
    <w:p>
      <w:pPr>
        <w:pStyle w:val="825"/>
        <w:pBdr/>
        <w:spacing/>
        <w:ind w:hanging="567" w:left="567"/>
        <w:rPr>
          <w:sz w:val="22"/>
          <w:u w:val="single"/>
        </w:rPr>
      </w:pPr>
      <w:r>
        <w:rPr>
          <w:sz w:val="22"/>
          <w:u w:val="single"/>
        </w:rPr>
        <w:t xml:space="preserve">Provoz stávající ČOV v průběhu rekonstrukce a výstavby nové ČOV – navrhovaný postup:</w:t>
      </w:r>
      <w:r>
        <w:rPr>
          <w:sz w:val="22"/>
          <w:u w:val="single"/>
        </w:rPr>
      </w:r>
      <w:r>
        <w:rPr>
          <w:sz w:val="22"/>
          <w:u w:val="single"/>
        </w:rPr>
      </w:r>
    </w:p>
    <w:p>
      <w:pPr>
        <w:pStyle w:val="825"/>
        <w:numPr>
          <w:ilvl w:val="0"/>
          <w:numId w:val="37"/>
        </w:numPr>
        <w:pBdr/>
        <w:spacing/>
        <w:ind/>
        <w:rPr>
          <w:sz w:val="22"/>
        </w:rPr>
      </w:pPr>
      <w:r>
        <w:rPr>
          <w:sz w:val="22"/>
        </w:rPr>
        <w:t xml:space="preserve">Kompletní výstavba nového reaktoru, jeho technologické vystrojení, dočasné napojení 2 ks dmychadel a čerpadel </w:t>
      </w:r>
      <w:r>
        <w:rPr>
          <w:sz w:val="22"/>
        </w:rPr>
        <w:t xml:space="preserve">vnější recirkulace na elektrickou energii. Spotřebiče budou ovládány ručně, časováním. Nový objekt bude propojen se stávající ČJ. </w:t>
      </w:r>
      <w:r>
        <w:rPr>
          <w:sz w:val="22"/>
        </w:rPr>
      </w:r>
      <w:r>
        <w:rPr>
          <w:sz w:val="22"/>
        </w:rPr>
      </w:r>
    </w:p>
    <w:p>
      <w:pPr>
        <w:pStyle w:val="825"/>
        <w:numPr>
          <w:ilvl w:val="0"/>
          <w:numId w:val="37"/>
        </w:numPr>
        <w:pBdr/>
        <w:spacing/>
        <w:ind/>
        <w:rPr>
          <w:sz w:val="22"/>
        </w:rPr>
      </w:pPr>
      <w:r>
        <w:rPr>
          <w:sz w:val="22"/>
        </w:rPr>
        <w:t xml:space="preserve">Objem stávajícího objektu ČOV bude přečerpán do nového reaktor</w:t>
      </w:r>
      <w:r>
        <w:rPr>
          <w:sz w:val="22"/>
        </w:rPr>
        <w:t xml:space="preserve">u, např. AN2, následně bude zapnuto dmychadlo č. 2 do ručního režimu. Poté bude uzavřen prostup propojení AN2 a DN2 deskovým uzávěrem. Bude vyjmuto čerpadlo vnější recirkulace z čerpací jímky a bude nahrazeno pomocným ručním čerpadlem s flexibilní hadicí. </w:t>
      </w:r>
      <w:r>
        <w:rPr>
          <w:sz w:val="22"/>
        </w:rPr>
        <w:t xml:space="preserve">Výtlak bude nasměrován do protilehlého nátoku do dosazovací nádrže. Čerpadlo bude spuštěno v časovacím režimu. </w:t>
      </w:r>
      <w:r>
        <w:rPr>
          <w:sz w:val="22"/>
        </w:rPr>
      </w:r>
      <w:r>
        <w:rPr>
          <w:sz w:val="22"/>
        </w:rPr>
      </w:r>
    </w:p>
    <w:p>
      <w:pPr>
        <w:pStyle w:val="825"/>
        <w:numPr>
          <w:ilvl w:val="0"/>
          <w:numId w:val="37"/>
        </w:numPr>
        <w:pBdr/>
        <w:spacing/>
        <w:ind/>
        <w:rPr>
          <w:sz w:val="22"/>
        </w:rPr>
      </w:pPr>
      <w:r>
        <w:rPr>
          <w:sz w:val="22"/>
        </w:rPr>
        <w:t xml:space="preserve">Přemístění do stávajícího RBS na zpevněnou plochu u nového reaktoru, po dobu montáže a instalace </w:t>
      </w:r>
      <w:r>
        <w:rPr>
          <w:sz w:val="22"/>
        </w:rPr>
        <w:t xml:space="preserve">bude puštěn nátok z obce do nového mechanického předčištění a necháme natékat do stávající ČOV. Poté bude propojen nátok z obce s přemístěným RBS. Mechanicky </w:t>
      </w:r>
      <w:r>
        <w:rPr>
          <w:sz w:val="22"/>
        </w:rPr>
        <w:t xml:space="preserve">predčištěné</w:t>
      </w:r>
      <w:r>
        <w:rPr>
          <w:sz w:val="22"/>
        </w:rPr>
        <w:t xml:space="preserve"> odpadní vody budou napouštěny do AN2. </w:t>
      </w:r>
      <w:r>
        <w:rPr>
          <w:sz w:val="22"/>
        </w:rPr>
      </w:r>
      <w:r>
        <w:rPr>
          <w:sz w:val="22"/>
        </w:rPr>
      </w:r>
    </w:p>
    <w:p>
      <w:pPr>
        <w:pStyle w:val="825"/>
        <w:numPr>
          <w:ilvl w:val="0"/>
          <w:numId w:val="37"/>
        </w:numPr>
        <w:pBdr/>
        <w:spacing/>
        <w:ind/>
        <w:rPr>
          <w:sz w:val="22"/>
        </w:rPr>
      </w:pPr>
      <w:r>
        <w:rPr>
          <w:sz w:val="22"/>
        </w:rPr>
        <w:t xml:space="preserve">Ze stávajícího objektu ČOV bude vyčerpán veškerý obsah, bude provedena demontáž technologie a vyčištění nádrží. Aktivační směs bude čerpána do AN2, nežádoucí znečištění bude odváženo. </w:t>
      </w:r>
      <w:r>
        <w:rPr>
          <w:sz w:val="22"/>
        </w:rPr>
      </w:r>
      <w:r>
        <w:rPr>
          <w:sz w:val="22"/>
        </w:rPr>
      </w:r>
    </w:p>
    <w:p>
      <w:pPr>
        <w:pStyle w:val="825"/>
        <w:numPr>
          <w:ilvl w:val="0"/>
          <w:numId w:val="37"/>
        </w:numPr>
        <w:pBdr/>
        <w:spacing/>
        <w:ind/>
        <w:rPr>
          <w:sz w:val="22"/>
        </w:rPr>
      </w:pPr>
      <w:r>
        <w:rPr>
          <w:sz w:val="22"/>
        </w:rPr>
        <w:t xml:space="preserve">DN1 a DN2 budou vystrojeny novou technologií, bude zhotoveno trubní propojení mezi AN1 a DN1.</w:t>
      </w:r>
      <w:r>
        <w:rPr>
          <w:sz w:val="22"/>
        </w:rPr>
      </w:r>
      <w:r>
        <w:rPr>
          <w:sz w:val="22"/>
        </w:rPr>
      </w:r>
    </w:p>
    <w:p>
      <w:pPr>
        <w:pStyle w:val="825"/>
        <w:numPr>
          <w:ilvl w:val="0"/>
          <w:numId w:val="37"/>
        </w:numPr>
        <w:pBdr/>
        <w:spacing/>
        <w:ind/>
        <w:rPr>
          <w:sz w:val="22"/>
        </w:rPr>
      </w:pPr>
      <w:r>
        <w:rPr>
          <w:sz w:val="22"/>
        </w:rPr>
        <w:t xml:space="preserve">Bude nainstalováno nové mechanické předčištění, rozdělovací objekt, následně bude provedeno nové trubní propojení z obce a bude spuštěn nátok do DN1.</w:t>
      </w:r>
      <w:r>
        <w:rPr>
          <w:sz w:val="22"/>
        </w:rPr>
      </w:r>
      <w:r>
        <w:rPr>
          <w:sz w:val="22"/>
        </w:rPr>
      </w:r>
    </w:p>
    <w:p>
      <w:pPr>
        <w:pStyle w:val="825"/>
        <w:numPr>
          <w:ilvl w:val="0"/>
          <w:numId w:val="37"/>
        </w:numPr>
        <w:pBdr/>
        <w:spacing/>
        <w:ind/>
        <w:rPr>
          <w:sz w:val="22"/>
        </w:rPr>
      </w:pPr>
      <w:r>
        <w:rPr>
          <w:sz w:val="22"/>
        </w:rPr>
        <w:t xml:space="preserve">Bude přečerpán objem z AN2 do AN1 a následně zprovozněna linka AN1, DN1. </w:t>
      </w:r>
      <w:r>
        <w:rPr>
          <w:sz w:val="22"/>
        </w:rPr>
      </w:r>
      <w:r>
        <w:rPr>
          <w:sz w:val="22"/>
        </w:rPr>
      </w:r>
    </w:p>
    <w:p>
      <w:pPr>
        <w:pStyle w:val="825"/>
        <w:numPr>
          <w:ilvl w:val="0"/>
          <w:numId w:val="37"/>
        </w:numPr>
        <w:pBdr/>
        <w:spacing/>
        <w:ind/>
        <w:rPr>
          <w:sz w:val="22"/>
        </w:rPr>
      </w:pPr>
      <w:r>
        <w:rPr>
          <w:sz w:val="22"/>
        </w:rPr>
        <w:t xml:space="preserve">Bude provedeno trubní propojení AN2, DN2, následně budou napouštěny prázdné objemy objektu ČOV. </w:t>
      </w:r>
      <w:r>
        <w:rPr>
          <w:sz w:val="22"/>
        </w:rPr>
      </w:r>
      <w:r>
        <w:rPr>
          <w:sz w:val="22"/>
        </w:rPr>
      </w:r>
    </w:p>
    <w:p>
      <w:pPr>
        <w:pStyle w:val="825"/>
        <w:numPr>
          <w:ilvl w:val="0"/>
          <w:numId w:val="37"/>
        </w:numPr>
        <w:pBdr/>
        <w:spacing/>
        <w:ind/>
        <w:rPr>
          <w:sz w:val="22"/>
        </w:rPr>
      </w:pPr>
      <w:r>
        <w:rPr>
          <w:sz w:val="22"/>
        </w:rPr>
        <w:t xml:space="preserve">Současně se stavebními pracemi na všech stavebních objektech budou prováděny práce na stávajících kalojemech, bude provedena instalace elektra </w:t>
      </w:r>
      <w:r>
        <w:rPr>
          <w:sz w:val="22"/>
        </w:rPr>
        <w:t xml:space="preserve">MaR</w:t>
      </w:r>
      <w:r>
        <w:rPr>
          <w:sz w:val="22"/>
        </w:rPr>
        <w:t xml:space="preserve"> a zároveň i výstavba </w:t>
      </w:r>
      <w:r>
        <w:rPr>
          <w:sz w:val="22"/>
        </w:rPr>
        <w:t xml:space="preserve">kalolisovny</w:t>
      </w:r>
      <w:r>
        <w:rPr>
          <w:sz w:val="22"/>
        </w:rPr>
        <w:t xml:space="preserve"> a jejího vystrojení. </w:t>
      </w:r>
      <w:r>
        <w:rPr>
          <w:sz w:val="22"/>
        </w:rPr>
      </w:r>
      <w:r>
        <w:rPr>
          <w:sz w:val="22"/>
        </w:rPr>
      </w:r>
    </w:p>
    <w:p>
      <w:pPr>
        <w:pStyle w:val="825"/>
        <w:pBdr/>
        <w:spacing/>
        <w:ind w:firstLine="0" w:left="0"/>
        <w:rPr>
          <w:sz w:val="22"/>
          <w:szCs w:val="22"/>
        </w:rPr>
      </w:pPr>
      <w:r>
        <w:rPr>
          <w:sz w:val="22"/>
          <w:highlight w:val="none"/>
        </w:rPr>
      </w:r>
      <w:r>
        <w:rPr>
          <w:sz w:val="22"/>
          <w:highlight w:val="none"/>
        </w:rPr>
      </w:r>
      <w:r>
        <w:rPr>
          <w:sz w:val="22"/>
          <w:highlight w:val="none"/>
        </w:rPr>
      </w:r>
    </w:p>
    <w:p>
      <w:pPr>
        <w:pStyle w:val="825"/>
        <w:pBdr/>
        <w:spacing/>
        <w:ind w:firstLine="567" w:left="0"/>
        <w:rPr>
          <w:sz w:val="22"/>
          <w:szCs w:val="22"/>
          <w:highlight w:val="none"/>
        </w:rPr>
      </w:pPr>
      <w:r>
        <w:rPr>
          <w:sz w:val="22"/>
        </w:rPr>
        <w:t xml:space="preserve">Předpokládaný termín zahájení výstavby je rok 2026. </w:t>
      </w:r>
      <w:r>
        <w:rPr>
          <w:sz w:val="22"/>
        </w:rPr>
      </w:r>
      <w:r/>
    </w:p>
    <w:p>
      <w:pPr>
        <w:pStyle w:val="825"/>
        <w:pBdr/>
        <w:spacing/>
        <w:ind w:firstLine="567" w:left="0"/>
        <w:rPr>
          <w:sz w:val="22"/>
        </w:rPr>
      </w:pPr>
      <w:r>
        <w:rPr>
          <w:sz w:val="22"/>
        </w:rPr>
      </w:r>
      <w:r>
        <w:rPr>
          <w:sz w:val="22"/>
        </w:rPr>
      </w:r>
    </w:p>
    <w:p>
      <w:pPr>
        <w:pStyle w:val="825"/>
        <w:numPr>
          <w:ilvl w:val="2"/>
          <w:numId w:val="16"/>
        </w:numPr>
        <w:pBdr/>
        <w:spacing/>
        <w:ind w:hanging="567" w:left="567"/>
        <w:rPr>
          <w:sz w:val="22"/>
          <w:u w:val="single"/>
        </w:rPr>
      </w:pPr>
      <w:r>
        <w:rPr>
          <w:sz w:val="22"/>
          <w:u w:val="single"/>
        </w:rPr>
        <w:t xml:space="preserve">základní požadavky na předčasné užívání staveb a zkušební provoz staveb, doba jejich trvání ve vztahu k dokončení a užívání stavby,</w:t>
      </w:r>
      <w:r>
        <w:rPr>
          <w:sz w:val="22"/>
          <w:u w:val="single"/>
        </w:rPr>
      </w:r>
    </w:p>
    <w:p>
      <w:pPr>
        <w:pBdr/>
        <w:spacing/>
        <w:ind/>
        <w:rPr>
          <w:sz w:val="22"/>
        </w:rPr>
      </w:pPr>
      <w:r>
        <w:rPr>
          <w:sz w:val="22"/>
        </w:rPr>
        <w:t xml:space="preserve">Stavba ČOV </w:t>
      </w:r>
      <w:r>
        <w:rPr>
          <w:sz w:val="22"/>
        </w:rPr>
        <w:t xml:space="preserve">bude využív</w:t>
      </w:r>
      <w:r>
        <w:rPr>
          <w:sz w:val="22"/>
        </w:rPr>
        <w:t xml:space="preserve">ána po dokončení stavebních prací</w:t>
      </w:r>
      <w:r>
        <w:rPr>
          <w:sz w:val="22"/>
        </w:rPr>
        <w:t xml:space="preserve">. </w:t>
      </w:r>
      <w:r>
        <w:rPr>
          <w:sz w:val="22"/>
        </w:rPr>
        <w:t xml:space="preserve">Po dokončení výstavby bude objekt ČOV uveden do zkušebního provozu, následně do trvalého. </w:t>
      </w:r>
      <w:r>
        <w:rPr>
          <w:sz w:val="22"/>
        </w:rPr>
      </w:r>
    </w:p>
    <w:p>
      <w:pPr>
        <w:pStyle w:val="825"/>
        <w:numPr>
          <w:ilvl w:val="2"/>
          <w:numId w:val="16"/>
        </w:numPr>
        <w:pBdr/>
        <w:spacing/>
        <w:ind w:hanging="567" w:left="567"/>
        <w:rPr>
          <w:sz w:val="22"/>
          <w:u w:val="single"/>
        </w:rPr>
      </w:pPr>
      <w:r>
        <w:rPr>
          <w:sz w:val="22"/>
          <w:u w:val="single"/>
        </w:rPr>
        <w:t xml:space="preserve">seznam výsledků zeměměřických činností podle jiného právního předpisu1), pokud mají podle projektu výsledků zeměměřických činností vzniknout v souvislosti s povolením stavby.</w:t>
      </w:r>
      <w:r>
        <w:rPr>
          <w:sz w:val="22"/>
          <w:u w:val="single"/>
        </w:rPr>
      </w:r>
    </w:p>
    <w:p>
      <w:pPr>
        <w:pBdr/>
        <w:spacing/>
        <w:ind/>
        <w:rPr>
          <w:sz w:val="22"/>
        </w:rPr>
      </w:pPr>
      <w:r>
        <w:rPr>
          <w:sz w:val="22"/>
        </w:rPr>
        <w:t xml:space="preserve">Netýká se. </w:t>
      </w:r>
      <w:r>
        <w:rPr>
          <w:sz w:val="22"/>
        </w:rPr>
      </w:r>
    </w:p>
    <w:p>
      <w:pPr>
        <w:pStyle w:val="825"/>
        <w:pBdr/>
        <w:spacing/>
        <w:ind w:hanging="567" w:left="567"/>
        <w:rPr/>
      </w:pPr>
      <w:r/>
      <w:r/>
    </w:p>
    <w:p>
      <w:pPr>
        <w:pStyle w:val="825"/>
        <w:numPr>
          <w:ilvl w:val="0"/>
          <w:numId w:val="3"/>
        </w:numPr>
        <w:pBdr/>
        <w:spacing/>
        <w:ind/>
        <w:outlineLvl w:val="0"/>
        <w:rPr>
          <w:b/>
          <w:sz w:val="24"/>
          <w:szCs w:val="24"/>
        </w:rPr>
      </w:pPr>
      <w:r/>
      <w:bookmarkStart w:id="1" w:name="_Toc195565187"/>
      <w:r>
        <w:rPr>
          <w:b/>
          <w:sz w:val="24"/>
          <w:szCs w:val="24"/>
        </w:rPr>
        <w:t xml:space="preserve">Urbanistické a základní architektonické řešení</w:t>
      </w:r>
      <w:bookmarkEnd w:id="1"/>
      <w:r/>
      <w:r>
        <w:rPr>
          <w:b/>
          <w:sz w:val="24"/>
          <w:szCs w:val="24"/>
        </w:rPr>
      </w:r>
    </w:p>
    <w:p>
      <w:pPr>
        <w:pBdr/>
        <w:spacing/>
        <w:ind/>
        <w:rPr>
          <w:b/>
          <w:sz w:val="22"/>
          <w:u w:val="single"/>
        </w:rPr>
      </w:pPr>
      <w:r>
        <w:rPr>
          <w:b/>
          <w:sz w:val="22"/>
          <w:u w:val="single"/>
        </w:rPr>
        <w:t xml:space="preserve">Popis</w:t>
      </w:r>
      <w:r>
        <w:rPr>
          <w:b/>
          <w:sz w:val="22"/>
          <w:u w:val="single"/>
        </w:rPr>
        <w:t xml:space="preserve"> základních navrhovaných úprav </w:t>
      </w:r>
      <w:r>
        <w:rPr>
          <w:b/>
          <w:sz w:val="22"/>
          <w:u w:val="single"/>
        </w:rPr>
      </w:r>
    </w:p>
    <w:p>
      <w:pPr>
        <w:pBdr/>
        <w:spacing/>
        <w:ind w:firstLine="708"/>
        <w:rPr>
          <w:sz w:val="22"/>
        </w:rPr>
      </w:pPr>
      <w:r>
        <w:rPr>
          <w:sz w:val="22"/>
        </w:rPr>
        <w:t xml:space="preserve">Navržené stavební objekty nevyžadují architektonické návrhy, součástí dokumentace jsou pohledy na jednotlivé stavební objekty – pohledy řeší začlenění stavby do stávající zástavby nebo do krajiny. </w:t>
      </w:r>
      <w:r>
        <w:rPr>
          <w:sz w:val="22"/>
        </w:rPr>
      </w:r>
    </w:p>
    <w:p>
      <w:pPr>
        <w:pBdr/>
        <w:spacing/>
        <w:ind/>
        <w:rPr>
          <w:sz w:val="22"/>
        </w:rPr>
      </w:pPr>
      <w:r>
        <w:rPr>
          <w:sz w:val="22"/>
        </w:rPr>
        <w:t xml:space="preserve"> </w:t>
      </w:r>
      <w:r>
        <w:rPr>
          <w:sz w:val="22"/>
        </w:rPr>
        <w:t xml:space="preserve">Projektová dokumentace řeší návrh rozšíření stávajícího objektu ČOV. Dojde k výstavbě nové </w:t>
      </w:r>
      <w:r>
        <w:rPr>
          <w:sz w:val="22"/>
        </w:rPr>
        <w:t xml:space="preserve">kalolisovny</w:t>
      </w:r>
      <w:r>
        <w:rPr>
          <w:sz w:val="22"/>
        </w:rPr>
        <w:t xml:space="preserve"> a objektu ČOV, úpravám stávajícího objektu, realizaci terénních úprav, </w:t>
      </w:r>
      <w:r>
        <w:rPr>
          <w:sz w:val="22"/>
        </w:rPr>
        <w:t xml:space="preserve">zpevněného přístupu k novým objektům a</w:t>
      </w:r>
      <w:r>
        <w:rPr>
          <w:sz w:val="22"/>
        </w:rPr>
        <w:t xml:space="preserve"> bude vybudováno nové oplocení, které bude navazovat na stávající oplocení areálu objektu ČOV. </w:t>
      </w:r>
      <w:r>
        <w:rPr>
          <w:sz w:val="22"/>
        </w:rPr>
      </w:r>
    </w:p>
    <w:p>
      <w:pPr>
        <w:pBdr/>
        <w:spacing/>
        <w:ind w:firstLine="360"/>
        <w:rPr>
          <w:sz w:val="22"/>
        </w:rPr>
      </w:pPr>
      <w:r>
        <w:rPr>
          <w:sz w:val="22"/>
        </w:rPr>
        <w:t xml:space="preserve">Veškeré stavební objekty a provozní soubory budou trvalého charakteru. </w:t>
      </w:r>
      <w:r>
        <w:rPr>
          <w:sz w:val="22"/>
        </w:rPr>
      </w:r>
    </w:p>
    <w:p>
      <w:pPr>
        <w:pBdr/>
        <w:spacing/>
        <w:ind w:firstLine="360"/>
        <w:rPr>
          <w:sz w:val="22"/>
        </w:rPr>
      </w:pPr>
      <w:r>
        <w:rPr>
          <w:sz w:val="22"/>
        </w:rPr>
        <w:t xml:space="preserve">Před zahájením stavby musí dodavatel zajistit vytyčení všech podzemních investic, aby nedošlo k jejich poškození. </w:t>
      </w:r>
      <w:r>
        <w:rPr>
          <w:sz w:val="22"/>
        </w:rPr>
        <w:t xml:space="preserve">Veškeré výkopové práce v ochranných pásmech stávajících rozvodů se musí provádět ručně a s nejvyšší opatrn</w:t>
      </w:r>
      <w:r>
        <w:rPr>
          <w:sz w:val="22"/>
        </w:rPr>
        <w:t xml:space="preserve">ostí. Před jejich odkrytím je nutné uvědomit správce, zajistit ochranu proti porušení a jiným vnějším účinkům a řídit se jejich podmínkami.  Stavba bude prováděna ve smyslu platných předpisů a norem. V projektové dokumentaci je zohledněn stavební zákon č. </w:t>
      </w:r>
      <w:r>
        <w:rPr>
          <w:sz w:val="22"/>
        </w:rPr>
        <w:t xml:space="preserve">283/2021</w:t>
      </w:r>
      <w:r>
        <w:rPr>
          <w:sz w:val="22"/>
        </w:rPr>
        <w:t xml:space="preserve"> Sb. včetně navazujících prováděcích vyhlášek a předpisů. </w:t>
      </w:r>
      <w:r>
        <w:rPr>
          <w:sz w:val="22"/>
        </w:rPr>
      </w:r>
    </w:p>
    <w:p>
      <w:pPr>
        <w:pBdr/>
        <w:spacing/>
        <w:ind w:firstLine="360"/>
        <w:rPr>
          <w:sz w:val="22"/>
        </w:rPr>
      </w:pPr>
      <w:r>
        <w:rPr>
          <w:sz w:val="22"/>
        </w:rPr>
        <w:tab/>
        <w:t xml:space="preserve">U navržených inženýrských sítí není řešeno bezbariérové užívání, jelikož se jedná o inženýrské objekty, které nebudou využívány osobami s omezenou schopností pohybu a orientace.     </w:t>
      </w:r>
      <w:r>
        <w:rPr>
          <w:sz w:val="22"/>
        </w:rPr>
      </w:r>
    </w:p>
    <w:p>
      <w:pPr>
        <w:pBdr/>
        <w:spacing/>
        <w:ind/>
        <w:rPr>
          <w:b/>
          <w:sz w:val="22"/>
          <w:u w:val="single"/>
        </w:rPr>
      </w:pPr>
      <w:r>
        <w:rPr>
          <w:b/>
          <w:sz w:val="22"/>
          <w:u w:val="single"/>
        </w:rPr>
        <w:t xml:space="preserve">Stavba se bude členit na stavební a provozní</w:t>
      </w:r>
      <w:r>
        <w:rPr>
          <w:b/>
          <w:sz w:val="22"/>
          <w:u w:val="single"/>
        </w:rPr>
        <w:t xml:space="preserve"> soubory následujícím způsobem:</w:t>
      </w:r>
      <w:r>
        <w:rPr>
          <w:b/>
          <w:sz w:val="22"/>
          <w:u w:val="single"/>
        </w:rPr>
      </w:r>
    </w:p>
    <w:p>
      <w:pPr>
        <w:pBdr/>
        <w:spacing w:after="0"/>
        <w:ind/>
        <w:rPr>
          <w:b/>
          <w:sz w:val="22"/>
        </w:rPr>
      </w:pPr>
      <w:r>
        <w:rPr>
          <w:b/>
          <w:sz w:val="22"/>
        </w:rPr>
        <w:t xml:space="preserve">SO 01 – </w:t>
      </w:r>
      <w:r>
        <w:rPr>
          <w:b/>
          <w:sz w:val="22"/>
        </w:rPr>
        <w:t xml:space="preserve">KALOLISOVNA</w:t>
      </w:r>
      <w:r>
        <w:rPr>
          <w:b/>
          <w:sz w:val="22"/>
        </w:rPr>
        <w:t xml:space="preserve"> </w:t>
      </w:r>
      <w:r>
        <w:rPr>
          <w:b/>
          <w:sz w:val="22"/>
        </w:rPr>
      </w:r>
    </w:p>
    <w:p>
      <w:pPr>
        <w:pBdr/>
        <w:spacing w:after="0"/>
        <w:ind/>
        <w:rPr>
          <w:b/>
          <w:sz w:val="22"/>
        </w:rPr>
      </w:pPr>
      <w:r>
        <w:rPr>
          <w:b/>
          <w:sz w:val="22"/>
        </w:rPr>
        <w:t xml:space="preserve">SO 02 – </w:t>
      </w:r>
      <w:r>
        <w:rPr>
          <w:b/>
          <w:sz w:val="22"/>
        </w:rPr>
        <w:t xml:space="preserve">NOVÁ BUDOVA ČOV </w:t>
      </w:r>
      <w:r>
        <w:rPr>
          <w:b/>
          <w:sz w:val="22"/>
        </w:rPr>
      </w:r>
    </w:p>
    <w:p>
      <w:pPr>
        <w:pBdr/>
        <w:spacing w:after="0"/>
        <w:ind/>
        <w:rPr>
          <w:b/>
          <w:sz w:val="22"/>
        </w:rPr>
      </w:pPr>
      <w:r>
        <w:rPr>
          <w:b/>
          <w:sz w:val="22"/>
        </w:rPr>
        <w:t xml:space="preserve">SO 03</w:t>
      </w:r>
      <w:r>
        <w:rPr>
          <w:b/>
          <w:sz w:val="22"/>
        </w:rPr>
        <w:t xml:space="preserve"> – </w:t>
      </w:r>
      <w:r>
        <w:rPr>
          <w:b/>
          <w:sz w:val="22"/>
        </w:rPr>
        <w:t xml:space="preserve">OPLOCENÍ, ZPEVNĚNÉ PLOCHY A TERÉNNÍ ÚPRAVY</w:t>
      </w:r>
      <w:r>
        <w:rPr>
          <w:b/>
          <w:sz w:val="22"/>
        </w:rPr>
      </w:r>
    </w:p>
    <w:p>
      <w:pPr>
        <w:pBdr/>
        <w:spacing w:after="0"/>
        <w:ind/>
        <w:rPr>
          <w:b/>
          <w:sz w:val="22"/>
        </w:rPr>
      </w:pPr>
      <w:r>
        <w:rPr>
          <w:b/>
          <w:sz w:val="22"/>
        </w:rPr>
        <w:t xml:space="preserve">SO 04</w:t>
      </w:r>
      <w:r>
        <w:rPr>
          <w:b/>
          <w:sz w:val="22"/>
        </w:rPr>
        <w:t xml:space="preserve"> – </w:t>
      </w:r>
      <w:r>
        <w:rPr>
          <w:b/>
          <w:sz w:val="22"/>
        </w:rPr>
        <w:t xml:space="preserve">STÁVAJÍCÍ ČOV</w:t>
      </w:r>
      <w:r>
        <w:rPr>
          <w:b/>
          <w:sz w:val="22"/>
        </w:rPr>
      </w:r>
    </w:p>
    <w:p>
      <w:pPr>
        <w:pBdr/>
        <w:spacing w:after="0"/>
        <w:ind/>
        <w:rPr>
          <w:b/>
          <w:sz w:val="22"/>
        </w:rPr>
      </w:pPr>
      <w:r>
        <w:rPr>
          <w:b/>
          <w:sz w:val="22"/>
        </w:rPr>
        <w:t xml:space="preserve">PS 01 – STROJNĚ – TECHNOLOGICKÁ ČÁST</w:t>
      </w:r>
      <w:r>
        <w:rPr>
          <w:b/>
          <w:sz w:val="22"/>
        </w:rPr>
      </w:r>
    </w:p>
    <w:p>
      <w:pPr>
        <w:pBdr/>
        <w:spacing w:after="0"/>
        <w:ind/>
        <w:rPr>
          <w:b/>
          <w:sz w:val="22"/>
        </w:rPr>
      </w:pPr>
      <w:r>
        <w:rPr>
          <w:b/>
          <w:sz w:val="22"/>
        </w:rPr>
        <w:t xml:space="preserve">PS 02 – ELEKTRO – TECHNOLOGICKÁ ČÁST</w:t>
      </w:r>
      <w:r>
        <w:rPr>
          <w:b/>
          <w:sz w:val="22"/>
        </w:rPr>
      </w:r>
    </w:p>
    <w:p>
      <w:pPr>
        <w:pBdr/>
        <w:spacing w:after="0"/>
        <w:ind/>
        <w:rPr>
          <w:b/>
          <w:sz w:val="22"/>
        </w:rPr>
      </w:pPr>
      <w:r>
        <w:rPr>
          <w:b/>
          <w:sz w:val="22"/>
        </w:rPr>
      </w:r>
      <w:r>
        <w:rPr>
          <w:b/>
          <w:sz w:val="22"/>
        </w:rPr>
      </w:r>
    </w:p>
    <w:p>
      <w:pPr>
        <w:pStyle w:val="825"/>
        <w:numPr>
          <w:ilvl w:val="0"/>
          <w:numId w:val="3"/>
        </w:numPr>
        <w:pBdr/>
        <w:spacing/>
        <w:ind/>
        <w:outlineLvl w:val="0"/>
        <w:rPr>
          <w:b/>
          <w:sz w:val="24"/>
          <w:szCs w:val="24"/>
        </w:rPr>
      </w:pPr>
      <w:r/>
      <w:bookmarkStart w:id="2" w:name="_Toc195565188"/>
      <w:r>
        <w:rPr>
          <w:b/>
          <w:sz w:val="24"/>
          <w:szCs w:val="24"/>
        </w:rPr>
        <w:t xml:space="preserve">Základní stavebně technické a technologické řešení</w:t>
      </w:r>
      <w:bookmarkEnd w:id="2"/>
      <w:r/>
      <w:r>
        <w:rPr>
          <w:b/>
          <w:sz w:val="24"/>
          <w:szCs w:val="24"/>
        </w:rPr>
      </w:r>
    </w:p>
    <w:p>
      <w:pPr>
        <w:pStyle w:val="825"/>
        <w:numPr>
          <w:ilvl w:val="1"/>
          <w:numId w:val="3"/>
        </w:numPr>
        <w:pBdr/>
        <w:spacing/>
        <w:ind/>
        <w:outlineLvl w:val="1"/>
        <w:rPr>
          <w:b/>
          <w:sz w:val="22"/>
        </w:rPr>
      </w:pPr>
      <w:r/>
      <w:bookmarkStart w:id="3" w:name="_Toc195565189"/>
      <w:r>
        <w:rPr>
          <w:b/>
          <w:sz w:val="22"/>
        </w:rPr>
        <w:t xml:space="preserve">Celková koncepce stavebně technického a technologického řešení</w:t>
      </w:r>
      <w:bookmarkEnd w:id="3"/>
      <w:r/>
      <w:r>
        <w:rPr>
          <w:b/>
          <w:sz w:val="22"/>
        </w:rPr>
      </w:r>
    </w:p>
    <w:p>
      <w:pPr>
        <w:pBdr/>
        <w:spacing/>
        <w:ind w:firstLine="360"/>
        <w:rPr>
          <w:sz w:val="22"/>
        </w:rPr>
      </w:pPr>
      <w:r>
        <w:rPr>
          <w:sz w:val="22"/>
        </w:rPr>
        <w:t xml:space="preserve">Hlavní funkcí objektu </w:t>
      </w:r>
      <w:r>
        <w:rPr>
          <w:sz w:val="22"/>
        </w:rPr>
        <w:t xml:space="preserve">čistírny odpadních vod je čištění splaškových odpadních vod komunálního charakteru. Součástí této projektové dokumentace je strojně – technologické řešení a elektro – technologická část. </w:t>
      </w:r>
      <w:r>
        <w:rPr>
          <w:sz w:val="22"/>
        </w:rPr>
      </w:r>
    </w:p>
    <w:p>
      <w:pPr>
        <w:pStyle w:val="825"/>
        <w:numPr>
          <w:ilvl w:val="1"/>
          <w:numId w:val="3"/>
        </w:numPr>
        <w:pBdr/>
        <w:spacing/>
        <w:ind/>
        <w:outlineLvl w:val="1"/>
        <w:rPr>
          <w:b/>
          <w:sz w:val="22"/>
        </w:rPr>
      </w:pPr>
      <w:r/>
      <w:bookmarkStart w:id="4" w:name="_Toc195565190"/>
      <w:r>
        <w:rPr>
          <w:b/>
          <w:sz w:val="22"/>
        </w:rPr>
        <w:t xml:space="preserve">Zásady bezpečnosti při užívání stavby</w:t>
      </w:r>
      <w:bookmarkEnd w:id="4"/>
      <w:r/>
      <w:r>
        <w:rPr>
          <w:b/>
          <w:sz w:val="22"/>
        </w:rPr>
      </w:r>
    </w:p>
    <w:p>
      <w:pPr>
        <w:pBdr/>
        <w:spacing/>
        <w:ind w:firstLine="360"/>
        <w:rPr>
          <w:sz w:val="22"/>
        </w:rPr>
      </w:pPr>
      <w:r>
        <w:rPr>
          <w:sz w:val="22"/>
        </w:rPr>
        <w:t xml:space="preserve">Bezpečnost při užívání stavby bude dána provozním řádem, který bude vyhotoven (aktualizován) po dokončení stavebních prací. Za provoz objektu </w:t>
      </w:r>
      <w:r>
        <w:rPr>
          <w:sz w:val="22"/>
        </w:rPr>
        <w:t xml:space="preserve">čistírny odpadních vod</w:t>
      </w:r>
      <w:r>
        <w:rPr>
          <w:sz w:val="22"/>
        </w:rPr>
        <w:t xml:space="preserve"> zodpovídá provozovatel – Vodo</w:t>
      </w:r>
      <w:r>
        <w:rPr>
          <w:sz w:val="22"/>
        </w:rPr>
        <w:t xml:space="preserve">vody a kanalizace Beroun</w:t>
      </w:r>
      <w:r>
        <w:rPr>
          <w:sz w:val="22"/>
        </w:rPr>
        <w:t xml:space="preserve">, a.s.</w:t>
      </w:r>
      <w:r>
        <w:rPr>
          <w:sz w:val="22"/>
        </w:rPr>
      </w:r>
    </w:p>
    <w:p>
      <w:pPr>
        <w:pStyle w:val="825"/>
        <w:numPr>
          <w:ilvl w:val="1"/>
          <w:numId w:val="3"/>
        </w:numPr>
        <w:pBdr/>
        <w:spacing/>
        <w:ind/>
        <w:outlineLvl w:val="1"/>
        <w:rPr>
          <w:b/>
          <w:sz w:val="22"/>
        </w:rPr>
      </w:pPr>
      <w:r/>
      <w:bookmarkStart w:id="5" w:name="_Toc195565191"/>
      <w:r>
        <w:rPr>
          <w:b/>
          <w:sz w:val="22"/>
        </w:rPr>
        <w:t xml:space="preserve">Základní technický popis stavby</w:t>
      </w:r>
      <w:bookmarkEnd w:id="5"/>
      <w:r/>
      <w:r>
        <w:rPr>
          <w:b/>
          <w:sz w:val="22"/>
        </w:rPr>
      </w:r>
    </w:p>
    <w:p>
      <w:pPr>
        <w:pBdr/>
        <w:spacing/>
        <w:ind w:firstLine="708"/>
        <w:rPr>
          <w:b/>
          <w:bCs/>
          <w:sz w:val="22"/>
          <w:szCs w:val="22"/>
          <w:highlight w:val="none"/>
          <w:u w:val="single"/>
        </w:rPr>
      </w:pPr>
      <w:r>
        <w:rPr>
          <w:b/>
          <w:sz w:val="22"/>
          <w:highlight w:val="none"/>
          <w:u w:val="single"/>
        </w:rPr>
        <w:t xml:space="preserve">KONCEPCE ŘEŠENÍ</w:t>
      </w:r>
      <w:r>
        <w:rPr>
          <w:b/>
          <w:bCs/>
          <w:sz w:val="22"/>
          <w:szCs w:val="22"/>
          <w:u w:val="single"/>
        </w:rPr>
      </w:r>
    </w:p>
    <w:p>
      <w:pPr>
        <w:pBdr/>
        <w:spacing/>
        <w:ind w:firstLine="708"/>
        <w:rPr>
          <w:b w:val="0"/>
          <w:bCs w:val="0"/>
          <w:sz w:val="22"/>
          <w:szCs w:val="22"/>
          <w:highlight w:val="none"/>
          <w:u w:val="none"/>
        </w:rPr>
      </w:pPr>
      <w:r>
        <w:rPr>
          <w:b w:val="0"/>
          <w:bCs w:val="0"/>
          <w:sz w:val="22"/>
          <w:highlight w:val="none"/>
          <w:u w:val="none"/>
        </w:rPr>
        <w:t xml:space="preserve">Mechanicko-biologická čistírna odpadních vod ve dvoulinkovém uspořádání, je navržena k čištění odpadních splaškových vod z lokality obce Třebotov a Solopisky, kapacita ČOV činí 2 500 EO (2 x 1250 EO), odpadní vody na ČOV budou přiáděny výtlačným potrubím z kanalizace. </w:t>
      </w:r>
      <w:r>
        <w:rPr>
          <w:b w:val="0"/>
          <w:bCs w:val="0"/>
          <w:sz w:val="22"/>
          <w:szCs w:val="22"/>
          <w:u w:val="none"/>
        </w:rPr>
      </w:r>
    </w:p>
    <w:p>
      <w:pPr>
        <w:pBdr/>
        <w:spacing/>
        <w:ind w:firstLine="0"/>
        <w:rPr>
          <w:b w:val="0"/>
          <w:bCs w:val="0"/>
          <w:sz w:val="22"/>
          <w:szCs w:val="22"/>
          <w:u w:val="none"/>
        </w:rPr>
      </w:pPr>
      <w:r>
        <w:rPr>
          <w:b w:val="0"/>
          <w:bCs w:val="0"/>
          <w:sz w:val="22"/>
          <w:highlight w:val="none"/>
          <w:u w:val="none"/>
        </w:rPr>
        <w:t xml:space="preserve">Intenzifikace stávající ČOV spočívá ve výstavbě nové dvoulinkové aktivace – nitrifikace s vnořenými separacemi dortmundského typu a chemickým srážením fosforu, novou lisovnu kalu a rekonstrukci stávajících objektů ČOV </w:t>
      </w:r>
      <w:r>
        <w:rPr>
          <w:b w:val="0"/>
          <w:bCs w:val="0"/>
          <w:sz w:val="22"/>
          <w:highlight w:val="none"/>
          <w:u w:val="none"/>
        </w:rPr>
        <w:t xml:space="preserve">na dvě linky denitrifikace, dvě kalové nádrže (zahuš</w:t>
      </w:r>
      <w:r>
        <w:rPr>
          <w:b w:val="0"/>
          <w:bCs w:val="0"/>
          <w:sz w:val="22"/>
          <w:highlight w:val="none"/>
          <w:u w:val="none"/>
        </w:rPr>
        <w:t xml:space="preserve">ťovací a usklad</w:t>
      </w:r>
      <w:r>
        <w:rPr>
          <w:b w:val="0"/>
          <w:bCs w:val="0"/>
          <w:sz w:val="22"/>
          <w:highlight w:val="none"/>
          <w:u w:val="none"/>
        </w:rPr>
        <w:t xml:space="preserve">ňovací), nové mechanické předčištění a novou funkci svozové jímky. Stávající vystrojení čerpací stanice na odtoku vyhovuje a bude ponecháno bezezměny.</w:t>
      </w:r>
      <w:r>
        <w:rPr>
          <w:b w:val="0"/>
          <w:bCs w:val="0"/>
          <w:sz w:val="22"/>
          <w:highlight w:val="none"/>
          <w:u w:val="none"/>
        </w:rPr>
      </w:r>
    </w:p>
    <w:p>
      <w:pPr>
        <w:pBdr/>
        <w:spacing/>
        <w:ind w:firstLine="708"/>
        <w:rPr>
          <w:b w:val="0"/>
          <w:bCs w:val="0"/>
          <w:sz w:val="22"/>
          <w:szCs w:val="22"/>
          <w:highlight w:val="none"/>
          <w:u w:val="single"/>
        </w:rPr>
      </w:pPr>
      <w:r>
        <w:rPr>
          <w:b w:val="0"/>
          <w:bCs w:val="0"/>
          <w:sz w:val="22"/>
          <w:highlight w:val="none"/>
          <w:u w:val="single"/>
        </w:rPr>
      </w:r>
      <w:r>
        <w:rPr>
          <w:b w:val="0"/>
          <w:bCs w:val="0"/>
          <w:sz w:val="22"/>
          <w:highlight w:val="none"/>
          <w:u w:val="single"/>
        </w:rPr>
        <w:t xml:space="preserve">Navržená technologie mechanicko – biologické čistírny odpadních vod integruje do kompaktního celku veškeré stupně čištění:</w:t>
      </w:r>
      <w:r>
        <w:rPr>
          <w:b w:val="0"/>
          <w:bCs w:val="0"/>
          <w:sz w:val="22"/>
          <w:szCs w:val="22"/>
          <w:highlight w:val="none"/>
          <w:u w:val="single"/>
        </w:rPr>
      </w:r>
    </w:p>
    <w:p>
      <w:pPr>
        <w:pStyle w:val="825"/>
        <w:numPr>
          <w:ilvl w:val="0"/>
          <w:numId w:val="36"/>
        </w:numPr>
        <w:pBdr/>
        <w:spacing/>
        <w:ind/>
        <w:rPr>
          <w:b w:val="0"/>
          <w:bCs w:val="0"/>
          <w:sz w:val="22"/>
          <w:szCs w:val="22"/>
          <w:highlight w:val="none"/>
          <w:u w:val="none"/>
        </w:rPr>
      </w:pPr>
      <w:r>
        <w:rPr>
          <w:b w:val="0"/>
          <w:bCs w:val="0"/>
          <w:sz w:val="22"/>
          <w:szCs w:val="22"/>
          <w:highlight w:val="none"/>
          <w:u w:val="none"/>
        </w:rPr>
        <w:t xml:space="preserve">Mechanické předčištění</w:t>
      </w:r>
      <w:r>
        <w:rPr>
          <w:b w:val="0"/>
          <w:bCs w:val="0"/>
          <w:sz w:val="22"/>
          <w:szCs w:val="22"/>
          <w:highlight w:val="none"/>
          <w:u w:val="none"/>
        </w:rPr>
      </w:r>
    </w:p>
    <w:p>
      <w:pPr>
        <w:pStyle w:val="825"/>
        <w:numPr>
          <w:ilvl w:val="0"/>
          <w:numId w:val="36"/>
        </w:numPr>
        <w:pBdr/>
        <w:spacing/>
        <w:ind/>
        <w:rPr>
          <w:b w:val="0"/>
          <w:bCs w:val="0"/>
          <w:sz w:val="22"/>
          <w:szCs w:val="22"/>
          <w:highlight w:val="none"/>
          <w:u w:val="none"/>
        </w:rPr>
      </w:pPr>
      <w:r>
        <w:rPr>
          <w:b w:val="0"/>
          <w:bCs w:val="0"/>
          <w:sz w:val="22"/>
          <w:szCs w:val="22"/>
          <w:highlight w:val="none"/>
          <w:u w:val="none"/>
        </w:rPr>
        <w:t xml:space="preserve">Biologické aktivační čištění s předřazenou denitrifikací</w:t>
      </w:r>
      <w:r>
        <w:rPr>
          <w:b w:val="0"/>
          <w:bCs w:val="0"/>
          <w:sz w:val="22"/>
          <w:szCs w:val="22"/>
          <w:highlight w:val="none"/>
          <w:u w:val="none"/>
        </w:rPr>
      </w:r>
    </w:p>
    <w:p>
      <w:pPr>
        <w:pStyle w:val="825"/>
        <w:numPr>
          <w:ilvl w:val="0"/>
          <w:numId w:val="36"/>
        </w:numPr>
        <w:pBdr/>
        <w:spacing/>
        <w:ind/>
        <w:rPr>
          <w:b w:val="0"/>
          <w:bCs w:val="0"/>
          <w:sz w:val="22"/>
          <w:szCs w:val="22"/>
          <w:highlight w:val="none"/>
          <w:u w:val="none"/>
        </w:rPr>
      </w:pPr>
      <w:r>
        <w:rPr>
          <w:b w:val="0"/>
          <w:bCs w:val="0"/>
          <w:sz w:val="22"/>
          <w:szCs w:val="22"/>
          <w:highlight w:val="none"/>
          <w:u w:val="none"/>
        </w:rPr>
        <w:t xml:space="preserve">Separaci</w:t>
      </w:r>
      <w:r>
        <w:rPr>
          <w:b w:val="0"/>
          <w:bCs w:val="0"/>
          <w:sz w:val="22"/>
          <w:szCs w:val="22"/>
          <w:highlight w:val="none"/>
          <w:u w:val="none"/>
        </w:rPr>
      </w:r>
    </w:p>
    <w:p>
      <w:pPr>
        <w:pStyle w:val="825"/>
        <w:numPr>
          <w:ilvl w:val="0"/>
          <w:numId w:val="36"/>
        </w:numPr>
        <w:pBdr/>
        <w:spacing/>
        <w:ind/>
        <w:rPr>
          <w:b w:val="0"/>
          <w:bCs w:val="0"/>
          <w:sz w:val="22"/>
          <w:szCs w:val="22"/>
          <w:highlight w:val="none"/>
          <w:u w:val="none"/>
        </w:rPr>
      </w:pPr>
      <w:r>
        <w:rPr>
          <w:b w:val="0"/>
          <w:bCs w:val="0"/>
          <w:sz w:val="22"/>
          <w:szCs w:val="22"/>
          <w:highlight w:val="none"/>
          <w:u w:val="none"/>
        </w:rPr>
        <w:t xml:space="preserve">Aerobní stabilizaci a uskladnění kalu</w:t>
      </w:r>
      <w:r>
        <w:rPr>
          <w:b w:val="0"/>
          <w:bCs w:val="0"/>
          <w:sz w:val="22"/>
          <w:szCs w:val="22"/>
          <w:highlight w:val="none"/>
          <w:u w:val="none"/>
        </w:rPr>
      </w:r>
    </w:p>
    <w:p>
      <w:pPr>
        <w:pStyle w:val="825"/>
        <w:numPr>
          <w:ilvl w:val="0"/>
          <w:numId w:val="36"/>
        </w:numPr>
        <w:pBdr/>
        <w:spacing/>
        <w:ind/>
        <w:rPr>
          <w:b w:val="0"/>
          <w:bCs w:val="0"/>
          <w:sz w:val="22"/>
          <w:szCs w:val="22"/>
          <w:highlight w:val="none"/>
          <w:u w:val="none"/>
        </w:rPr>
      </w:pPr>
      <w:r>
        <w:rPr>
          <w:b w:val="0"/>
          <w:bCs w:val="0"/>
          <w:sz w:val="22"/>
          <w:szCs w:val="22"/>
          <w:highlight w:val="none"/>
          <w:u w:val="none"/>
        </w:rPr>
        <w:t xml:space="preserve">Měření množství odpadních vod</w:t>
      </w:r>
      <w:r>
        <w:rPr>
          <w:b w:val="0"/>
          <w:bCs w:val="0"/>
          <w:sz w:val="22"/>
          <w:szCs w:val="22"/>
          <w:highlight w:val="none"/>
          <w:u w:val="none"/>
        </w:rPr>
      </w:r>
    </w:p>
    <w:p>
      <w:pPr>
        <w:pStyle w:val="825"/>
        <w:numPr>
          <w:ilvl w:val="0"/>
          <w:numId w:val="36"/>
        </w:numPr>
        <w:pBdr/>
        <w:spacing/>
        <w:ind/>
        <w:rPr>
          <w:b w:val="0"/>
          <w:bCs w:val="0"/>
          <w:sz w:val="22"/>
          <w:szCs w:val="22"/>
          <w:highlight w:val="none"/>
          <w:u w:val="none"/>
        </w:rPr>
      </w:pPr>
      <w:r>
        <w:rPr>
          <w:b w:val="0"/>
          <w:bCs w:val="0"/>
          <w:sz w:val="22"/>
          <w:szCs w:val="22"/>
          <w:highlight w:val="none"/>
          <w:u w:val="none"/>
        </w:rPr>
        <w:t xml:space="preserve">Chemické odstra</w:t>
      </w:r>
      <w:r>
        <w:rPr>
          <w:b w:val="0"/>
          <w:bCs w:val="0"/>
          <w:sz w:val="22"/>
          <w:szCs w:val="22"/>
          <w:highlight w:val="none"/>
          <w:u w:val="none"/>
        </w:rPr>
        <w:t xml:space="preserve">ňování fosforu</w:t>
      </w:r>
      <w:r>
        <w:rPr>
          <w:b w:val="0"/>
          <w:bCs w:val="0"/>
          <w:sz w:val="22"/>
          <w:szCs w:val="22"/>
          <w:highlight w:val="none"/>
          <w:u w:val="none"/>
        </w:rPr>
      </w:r>
    </w:p>
    <w:p>
      <w:pPr>
        <w:pStyle w:val="825"/>
        <w:numPr>
          <w:ilvl w:val="0"/>
          <w:numId w:val="36"/>
        </w:numPr>
        <w:pBdr/>
        <w:spacing/>
        <w:ind/>
        <w:rPr>
          <w:b w:val="0"/>
          <w:bCs w:val="0"/>
          <w:sz w:val="22"/>
          <w:szCs w:val="22"/>
          <w:highlight w:val="none"/>
          <w:u w:val="none"/>
        </w:rPr>
      </w:pPr>
      <w:r>
        <w:rPr>
          <w:b w:val="0"/>
          <w:bCs w:val="0"/>
          <w:sz w:val="22"/>
          <w:szCs w:val="22"/>
          <w:highlight w:val="none"/>
          <w:u w:val="none"/>
        </w:rPr>
        <w:t xml:space="preserve">Zařízení na odvodnění kalu</w:t>
      </w:r>
      <w:r>
        <w:rPr>
          <w:b w:val="0"/>
          <w:bCs w:val="0"/>
          <w:sz w:val="22"/>
          <w:szCs w:val="22"/>
          <w:highlight w:val="none"/>
          <w:u w:val="none"/>
        </w:rPr>
      </w:r>
    </w:p>
    <w:p>
      <w:pPr>
        <w:pBdr/>
        <w:spacing/>
        <w:ind/>
        <w:rPr>
          <w:b w:val="0"/>
          <w:bCs w:val="0"/>
          <w:sz w:val="22"/>
          <w:szCs w:val="22"/>
          <w:highlight w:val="none"/>
          <w:u w:val="none"/>
        </w:rPr>
      </w:pPr>
      <w:r>
        <w:rPr>
          <w:b w:val="0"/>
          <w:bCs w:val="0"/>
          <w:sz w:val="22"/>
          <w:szCs w:val="22"/>
          <w:highlight w:val="none"/>
          <w:u w:val="none"/>
        </w:rPr>
        <w:t xml:space="preserve">Součástí ČOV je svozová jímka pro svoz splašků z nemovitostí nenapojených na kanalizaci, která nebyla využívána a nebude k tomuto účelu využívána ani v budoucnu. Nově bude jímka využívána jako jímka kalových a dekantovaných vod. </w:t>
      </w:r>
      <w:r>
        <w:rPr>
          <w:b w:val="0"/>
          <w:bCs w:val="0"/>
          <w:sz w:val="22"/>
          <w:szCs w:val="22"/>
          <w:highlight w:val="none"/>
          <w:u w:val="none"/>
        </w:rPr>
      </w:r>
    </w:p>
    <w:p>
      <w:pPr>
        <w:pBdr/>
        <w:spacing/>
        <w:ind/>
        <w:rPr>
          <w:b w:val="0"/>
          <w:bCs w:val="0"/>
          <w:sz w:val="22"/>
          <w:szCs w:val="22"/>
          <w:highlight w:val="none"/>
          <w:u w:val="none"/>
        </w:rPr>
      </w:pPr>
      <w:r>
        <w:rPr>
          <w:b w:val="0"/>
          <w:bCs w:val="0"/>
          <w:sz w:val="22"/>
          <w:szCs w:val="22"/>
          <w:highlight w:val="none"/>
          <w:u w:val="none"/>
        </w:rPr>
        <w:t xml:space="preserve">Technologie nové dvoulinky</w:t>
      </w:r>
      <w:r>
        <w:rPr>
          <w:b w:val="0"/>
          <w:bCs w:val="0"/>
          <w:sz w:val="22"/>
          <w:szCs w:val="22"/>
          <w:highlight w:val="none"/>
          <w:u w:val="none"/>
        </w:rPr>
        <w:t xml:space="preserve"> ČOV bude osazena do nových betonových bazénů zahloubených do terénu, nadzemní část tvoří budovy s dmychárnou (odvětrání budovy a podzemních nádrží je součástí stavby). Část ČOV zahrnující vystrojení dvoulinky denitrifikace, zahuš</w:t>
      </w:r>
      <w:r>
        <w:rPr>
          <w:b w:val="0"/>
          <w:bCs w:val="0"/>
          <w:sz w:val="22"/>
          <w:szCs w:val="22"/>
          <w:highlight w:val="none"/>
          <w:u w:val="none"/>
        </w:rPr>
        <w:t xml:space="preserve">ťovací a usklad</w:t>
      </w:r>
      <w:r>
        <w:rPr>
          <w:b w:val="0"/>
          <w:bCs w:val="0"/>
          <w:sz w:val="22"/>
          <w:szCs w:val="22"/>
          <w:highlight w:val="none"/>
          <w:u w:val="none"/>
        </w:rPr>
        <w:t xml:space="preserve">ňovací kalové nádrže, dmychárny, nové mechanické předčištění a sociálního zázemí budou umístěné v původním prostoru objektu ČOV, stávající technologie ČOV bude až na výjimky demontována. </w:t>
      </w:r>
      <w:r>
        <w:rPr>
          <w:b w:val="0"/>
          <w:bCs w:val="0"/>
          <w:sz w:val="22"/>
          <w:szCs w:val="22"/>
          <w:highlight w:val="none"/>
          <w:u w:val="none"/>
        </w:rPr>
      </w:r>
    </w:p>
    <w:p>
      <w:pPr>
        <w:pBdr/>
        <w:spacing/>
        <w:ind/>
        <w:rPr>
          <w:b w:val="0"/>
          <w:bCs w:val="0"/>
          <w:sz w:val="22"/>
          <w:szCs w:val="22"/>
          <w:highlight w:val="none"/>
          <w:u w:val="none"/>
        </w:rPr>
      </w:pPr>
      <w:r>
        <w:rPr>
          <w:b w:val="0"/>
          <w:bCs w:val="0"/>
          <w:sz w:val="22"/>
          <w:szCs w:val="22"/>
          <w:highlight w:val="none"/>
          <w:u w:val="none"/>
        </w:rPr>
        <w:t xml:space="preserve">Vedle stávající ČOV bude nově vybudován samostatný nadzemní objekt pro umístění kalové koncovky – šnekového lisu. </w:t>
      </w:r>
      <w:r>
        <w:rPr>
          <w:b w:val="0"/>
          <w:bCs w:val="0"/>
          <w:sz w:val="22"/>
          <w:szCs w:val="22"/>
          <w:highlight w:val="none"/>
          <w:u w:val="none"/>
        </w:rPr>
      </w:r>
      <w:r>
        <w:rPr>
          <w:b w:val="0"/>
          <w:bCs w:val="0"/>
          <w:sz w:val="22"/>
          <w:szCs w:val="22"/>
          <w:highlight w:val="none"/>
          <w:u w:val="none"/>
        </w:rPr>
      </w:r>
    </w:p>
    <w:p>
      <w:pPr>
        <w:pBdr/>
        <w:spacing/>
        <w:ind/>
        <w:rPr>
          <w:b w:val="0"/>
          <w:bCs w:val="0"/>
          <w:sz w:val="22"/>
          <w:szCs w:val="22"/>
          <w:highlight w:val="none"/>
          <w:u w:val="none"/>
        </w:rPr>
      </w:pPr>
      <w:r>
        <w:rPr>
          <w:b w:val="0"/>
          <w:bCs w:val="0"/>
          <w:sz w:val="22"/>
          <w:szCs w:val="22"/>
          <w:highlight w:val="none"/>
          <w:u w:val="none"/>
        </w:rPr>
        <w:t xml:space="preserve">Funkce biologického čištění Stainless Cleaner je založena na aktivačním principu s využitím jemnobublinné aerace. Aktivace je narvžena jako nízkozátěžový systém s vysokou hodnotou stáří kalu a aerobní stabilizaci kalu. </w:t>
      </w:r>
      <w:r>
        <w:rPr>
          <w:b w:val="0"/>
          <w:bCs w:val="0"/>
          <w:sz w:val="22"/>
          <w:szCs w:val="22"/>
          <w:highlight w:val="none"/>
          <w:u w:val="none"/>
        </w:rPr>
      </w:r>
    </w:p>
    <w:p>
      <w:pPr>
        <w:pBdr/>
        <w:spacing/>
        <w:ind/>
        <w:rPr>
          <w:b w:val="0"/>
          <w:bCs w:val="0"/>
          <w:sz w:val="22"/>
          <w:szCs w:val="22"/>
          <w:highlight w:val="none"/>
          <w:u w:val="none"/>
        </w:rPr>
      </w:pPr>
      <w:r>
        <w:rPr>
          <w:b w:val="0"/>
          <w:bCs w:val="0"/>
          <w:sz w:val="22"/>
          <w:szCs w:val="22"/>
          <w:highlight w:val="none"/>
          <w:u w:val="none"/>
        </w:rPr>
        <w:t xml:space="preserve">Princip biologického čištění navržené technologie </w:t>
      </w:r>
      <w:r>
        <w:rPr>
          <w:b w:val="0"/>
          <w:bCs w:val="0"/>
          <w:sz w:val="22"/>
          <w:szCs w:val="22"/>
          <w:highlight w:val="none"/>
          <w:u w:val="none"/>
        </w:rPr>
        <w:t xml:space="preserve">ČOV je v souladu s požadavky nařízení vlády č. 401/2015 Sb., o ukazatelích a hodnotách přípustného znečištění povrchových vod a odpadních vod, náležitostech povolení k vypouštění odpadních vod do vod povrchových a do kanalizací a o citlivých oblastech, v platném znění, definující nejlepší dostupné technologie v oblasti zneškod</w:t>
      </w:r>
      <w:r>
        <w:rPr>
          <w:b w:val="0"/>
          <w:bCs w:val="0"/>
          <w:sz w:val="22"/>
          <w:szCs w:val="22"/>
          <w:highlight w:val="none"/>
          <w:u w:val="none"/>
        </w:rPr>
        <w:t xml:space="preserve">ňování odpadních vod a podmínky jejich použití. </w:t>
      </w:r>
      <w:r>
        <w:rPr>
          <w:b w:val="0"/>
          <w:bCs w:val="0"/>
          <w:sz w:val="22"/>
          <w:szCs w:val="22"/>
          <w:highlight w:val="none"/>
          <w:u w:val="none"/>
        </w:rPr>
      </w:r>
    </w:p>
    <w:p>
      <w:pPr>
        <w:pBdr/>
        <w:spacing/>
        <w:ind/>
        <w:rPr>
          <w:b w:val="0"/>
          <w:bCs w:val="0"/>
          <w:sz w:val="22"/>
          <w:szCs w:val="22"/>
          <w:highlight w:val="none"/>
          <w:u w:val="none"/>
        </w:rPr>
      </w:pPr>
      <w:r>
        <w:rPr>
          <w:b w:val="0"/>
          <w:bCs w:val="0"/>
          <w:sz w:val="22"/>
          <w:szCs w:val="22"/>
          <w:highlight w:val="none"/>
          <w:u w:val="none"/>
        </w:rPr>
        <w:t xml:space="preserve">Návrhové parametry jsou řešeny v příslušné příloze této PD – PS 02 – strojně – technologická část. </w:t>
      </w:r>
      <w:r>
        <w:rPr>
          <w:b w:val="0"/>
          <w:bCs w:val="0"/>
          <w:sz w:val="22"/>
          <w:szCs w:val="22"/>
          <w:highlight w:val="none"/>
          <w:u w:val="none"/>
        </w:rPr>
      </w:r>
      <w:r>
        <w:rPr>
          <w:b w:val="0"/>
          <w:bCs w:val="0"/>
          <w:sz w:val="22"/>
          <w:szCs w:val="22"/>
          <w:highlight w:val="none"/>
          <w:u w:val="none"/>
        </w:rPr>
      </w:r>
      <w:r>
        <w:rPr>
          <w:b w:val="0"/>
          <w:bCs w:val="0"/>
          <w:sz w:val="22"/>
          <w:highlight w:val="none"/>
          <w:u w:val="none"/>
        </w:rPr>
      </w:r>
      <w:r>
        <w:rPr>
          <w:b w:val="0"/>
          <w:bCs w:val="0"/>
          <w:sz w:val="22"/>
          <w:highlight w:val="none"/>
          <w:u w:val="none"/>
        </w:rPr>
      </w:r>
      <w:r>
        <w:rPr>
          <w:b w:val="0"/>
          <w:bCs w:val="0"/>
          <w:sz w:val="22"/>
          <w:highlight w:val="none"/>
          <w:u w:val="none"/>
        </w:rPr>
      </w:r>
      <w:r>
        <w:rPr>
          <w:b w:val="0"/>
          <w:bCs w:val="0"/>
          <w:sz w:val="22"/>
          <w:szCs w:val="22"/>
          <w:highlight w:val="none"/>
          <w:u w:val="none"/>
        </w:rPr>
      </w:r>
    </w:p>
    <w:p>
      <w:pPr>
        <w:pBdr/>
        <w:spacing/>
        <w:ind/>
        <w:rPr>
          <w:b w:val="0"/>
          <w:bCs w:val="0"/>
          <w:sz w:val="22"/>
          <w:szCs w:val="22"/>
          <w:highlight w:val="none"/>
          <w:u w:val="none"/>
        </w:rPr>
      </w:pPr>
      <w:r>
        <w:rPr>
          <w:b w:val="0"/>
          <w:bCs w:val="0"/>
          <w:sz w:val="22"/>
          <w:highlight w:val="none"/>
          <w:u w:val="none"/>
        </w:rPr>
        <w:t xml:space="preserve">Rozměry a objemy nádrží ČOV:</w:t>
      </w:r>
      <w:r>
        <w:rPr>
          <w:b w:val="0"/>
          <w:bCs w:val="0"/>
          <w:sz w:val="22"/>
          <w:szCs w:val="22"/>
          <w:highlight w:val="none"/>
          <w:u w:val="none"/>
        </w:rPr>
      </w:r>
    </w:p>
    <w:p>
      <w:pPr>
        <w:pBdr/>
        <w:spacing/>
        <w:ind/>
        <w:rPr>
          <w:b w:val="0"/>
          <w:bCs w:val="0"/>
          <w:sz w:val="22"/>
          <w:szCs w:val="22"/>
          <w:highlight w:val="none"/>
          <w:u w:val="none"/>
        </w:rPr>
      </w:pPr>
      <w:r>
        <w:rPr>
          <w:b w:val="0"/>
          <w:bCs w:val="0"/>
          <w:sz w:val="22"/>
          <w:highlight w:val="none"/>
          <w:u w:val="none"/>
        </w:rPr>
        <w:t xml:space="preserve">Celkový vnitřní rozměr podzemní betonové nádrže stávající čistírny odpadních vod: půdorys 12,3m x 8,5m, celková hloubka 5,05m, užitná hladina č,5m. </w:t>
      </w:r>
      <w:r>
        <w:rPr>
          <w:b w:val="0"/>
          <w:bCs w:val="0"/>
          <w:sz w:val="22"/>
          <w:szCs w:val="22"/>
          <w:highlight w:val="none"/>
          <w:u w:val="none"/>
        </w:rPr>
      </w:r>
    </w:p>
    <w:p>
      <w:pPr>
        <w:pBdr/>
        <w:spacing/>
        <w:ind/>
        <w:rPr>
          <w:b w:val="0"/>
          <w:bCs w:val="0"/>
          <w:sz w:val="22"/>
          <w:szCs w:val="22"/>
          <w:highlight w:val="none"/>
          <w:u w:val="none"/>
        </w:rPr>
      </w:pPr>
      <w:r>
        <w:rPr>
          <w:b w:val="0"/>
          <w:bCs w:val="0"/>
          <w:sz w:val="22"/>
          <w:highlight w:val="none"/>
          <w:u w:val="none"/>
        </w:rPr>
        <w:t xml:space="preserve">Celkový vnitřní rozměr podzemní betonové nádrže nové přístavby ČOV: půdorys 18,3m x 6,5m, celková hloubka 6,3m, užitná hladina 5,5m. </w:t>
      </w:r>
      <w:r>
        <w:rPr>
          <w:b w:val="0"/>
          <w:bCs w:val="0"/>
          <w:sz w:val="22"/>
          <w:szCs w:val="22"/>
          <w:highlight w:val="none"/>
          <w:u w:val="none"/>
        </w:rPr>
      </w:r>
    </w:p>
    <w:p>
      <w:pPr>
        <w:pBdr/>
        <w:spacing/>
        <w:ind/>
        <w:rPr>
          <w:b w:val="0"/>
          <w:bCs w:val="0"/>
          <w:sz w:val="22"/>
          <w:szCs w:val="22"/>
          <w:highlight w:val="none"/>
          <w:u w:val="none"/>
        </w:rPr>
      </w:pPr>
      <w:r>
        <w:rPr>
          <w:b w:val="0"/>
          <w:bCs w:val="0"/>
          <w:sz w:val="22"/>
          <w:highlight w:val="none"/>
          <w:u w:val="none"/>
        </w:rPr>
        <w:t xml:space="preserve">Vnitřní rozměr kalolisovny: půdorys 6,8m x 3,5m. </w:t>
      </w:r>
      <w:r>
        <w:rPr>
          <w:b w:val="0"/>
          <w:bCs w:val="0"/>
          <w:sz w:val="22"/>
          <w:highlight w:val="none"/>
          <w:u w:val="none"/>
        </w:rPr>
      </w:r>
      <w:r>
        <w:rPr>
          <w:b w:val="0"/>
          <w:bCs w:val="0"/>
          <w:sz w:val="22"/>
          <w:szCs w:val="22"/>
          <w:highlight w:val="none"/>
          <w:u w:val="none"/>
        </w:rPr>
      </w:r>
    </w:p>
    <w:p>
      <w:pPr>
        <w:pBdr/>
        <w:spacing/>
        <w:ind/>
        <w:rPr>
          <w:b/>
          <w:bCs/>
          <w:sz w:val="22"/>
          <w:szCs w:val="22"/>
          <w:highlight w:val="none"/>
          <w:u w:val="single"/>
        </w:rPr>
      </w:pPr>
      <w:r>
        <w:rPr>
          <w:b/>
          <w:bCs/>
          <w:sz w:val="22"/>
          <w:highlight w:val="none"/>
          <w:u w:val="single"/>
        </w:rPr>
        <w:t xml:space="preserve">Užitný objem nádrží technologie:</w:t>
      </w:r>
      <w:r>
        <w:rPr>
          <w:b/>
          <w:bCs/>
          <w:sz w:val="22"/>
          <w:szCs w:val="22"/>
          <w:highlight w:val="none"/>
          <w:u w:val="single"/>
        </w:rPr>
      </w:r>
    </w:p>
    <w:p>
      <w:pPr>
        <w:pBdr/>
        <w:spacing w:after="0" w:line="276" w:lineRule="auto"/>
        <w:ind/>
        <w:rPr>
          <w:b w:val="0"/>
          <w:bCs w:val="0"/>
          <w:sz w:val="22"/>
          <w:szCs w:val="22"/>
          <w:highlight w:val="none"/>
          <w:u w:val="none"/>
        </w:rPr>
      </w:pPr>
      <w:r>
        <w:rPr>
          <w:b w:val="0"/>
          <w:bCs w:val="0"/>
          <w:sz w:val="22"/>
          <w:highlight w:val="none"/>
          <w:u w:val="none"/>
        </w:rPr>
        <w:t xml:space="preserve">Aktivace </w:t>
        <w:tab/>
        <w:t xml:space="preserve">– nitrifikace</w:t>
        <w:tab/>
        <w:tab/>
        <w:t xml:space="preserve">643 m3</w:t>
      </w:r>
      <w:r>
        <w:rPr>
          <w:b w:val="0"/>
          <w:bCs w:val="0"/>
          <w:sz w:val="22"/>
          <w:szCs w:val="22"/>
          <w:highlight w:val="none"/>
          <w:u w:val="none"/>
        </w:rPr>
      </w:r>
    </w:p>
    <w:p>
      <w:pPr>
        <w:pBdr/>
        <w:spacing w:after="0" w:line="276" w:lineRule="auto"/>
        <w:ind/>
        <w:rPr>
          <w:b w:val="0"/>
          <w:bCs w:val="0"/>
          <w:sz w:val="22"/>
          <w:szCs w:val="22"/>
          <w:highlight w:val="none"/>
          <w:u w:val="none"/>
        </w:rPr>
      </w:pPr>
      <w:r>
        <w:rPr>
          <w:b w:val="0"/>
          <w:bCs w:val="0"/>
          <w:sz w:val="22"/>
          <w:highlight w:val="none"/>
          <w:u w:val="none"/>
        </w:rPr>
        <w:tab/>
        <w:tab/>
        <w:t xml:space="preserve">- denitrifikace</w:t>
      </w:r>
      <w:r>
        <w:rPr>
          <w:b w:val="0"/>
          <w:bCs w:val="0"/>
          <w:sz w:val="22"/>
          <w:highlight w:val="none"/>
          <w:u w:val="none"/>
        </w:rPr>
        <w:tab/>
        <w:tab/>
        <w:t xml:space="preserve">216 m3</w:t>
      </w:r>
      <w:r>
        <w:rPr>
          <w:b w:val="0"/>
          <w:bCs w:val="0"/>
          <w:sz w:val="22"/>
          <w:szCs w:val="22"/>
          <w:highlight w:val="none"/>
          <w:u w:val="none"/>
        </w:rPr>
      </w:r>
    </w:p>
    <w:p>
      <w:pPr>
        <w:pBdr/>
        <w:spacing w:after="0" w:line="276" w:lineRule="auto"/>
        <w:ind/>
        <w:rPr>
          <w:b w:val="0"/>
          <w:bCs w:val="0"/>
          <w:sz w:val="22"/>
          <w:szCs w:val="22"/>
          <w:highlight w:val="none"/>
          <w:u w:val="none"/>
        </w:rPr>
      </w:pPr>
      <w:r>
        <w:rPr>
          <w:b w:val="0"/>
          <w:bCs w:val="0"/>
          <w:sz w:val="22"/>
          <w:highlight w:val="none"/>
          <w:u w:val="none"/>
        </w:rPr>
        <w:t xml:space="preserve">Separace</w:t>
        <w:tab/>
        <w:tab/>
        <w:tab/>
        <w:tab/>
        <w:t xml:space="preserve">48 m3</w:t>
      </w:r>
      <w:r>
        <w:rPr>
          <w:b w:val="0"/>
          <w:bCs w:val="0"/>
          <w:sz w:val="22"/>
          <w:szCs w:val="22"/>
          <w:highlight w:val="none"/>
          <w:u w:val="none"/>
        </w:rPr>
      </w:r>
    </w:p>
    <w:p>
      <w:pPr>
        <w:pBdr/>
        <w:spacing w:after="0" w:line="276" w:lineRule="auto"/>
        <w:ind/>
        <w:rPr>
          <w:b w:val="0"/>
          <w:bCs w:val="0"/>
          <w:sz w:val="22"/>
          <w:szCs w:val="22"/>
          <w:highlight w:val="none"/>
          <w:u w:val="none"/>
        </w:rPr>
      </w:pPr>
      <w:r>
        <w:rPr>
          <w:b w:val="0"/>
          <w:bCs w:val="0"/>
          <w:sz w:val="22"/>
          <w:highlight w:val="none"/>
          <w:u w:val="none"/>
        </w:rPr>
        <w:t xml:space="preserve">Zahuš</w:t>
      </w:r>
      <w:r>
        <w:rPr>
          <w:b w:val="0"/>
          <w:bCs w:val="0"/>
          <w:sz w:val="22"/>
          <w:highlight w:val="none"/>
          <w:u w:val="none"/>
        </w:rPr>
        <w:t xml:space="preserve">ťovací kalová nádrž </w:t>
        <w:tab/>
        <w:tab/>
        <w:t xml:space="preserve">86 m3</w:t>
      </w:r>
      <w:r>
        <w:rPr>
          <w:b w:val="0"/>
          <w:bCs w:val="0"/>
          <w:sz w:val="22"/>
          <w:szCs w:val="22"/>
          <w:highlight w:val="none"/>
          <w:u w:val="none"/>
        </w:rPr>
      </w:r>
    </w:p>
    <w:p>
      <w:pPr>
        <w:pBdr/>
        <w:spacing w:after="0" w:line="276" w:lineRule="auto"/>
        <w:ind/>
        <w:rPr>
          <w:b w:val="0"/>
          <w:bCs w:val="0"/>
          <w:sz w:val="22"/>
          <w:szCs w:val="22"/>
          <w:highlight w:val="none"/>
          <w:u w:val="none"/>
        </w:rPr>
      </w:pPr>
      <w:r>
        <w:rPr>
          <w:b w:val="0"/>
          <w:bCs w:val="0"/>
          <w:sz w:val="22"/>
          <w:highlight w:val="none"/>
          <w:u w:val="none"/>
        </w:rPr>
        <w:t xml:space="preserve">Usklad</w:t>
      </w:r>
      <w:r>
        <w:rPr>
          <w:b w:val="0"/>
          <w:bCs w:val="0"/>
          <w:sz w:val="22"/>
          <w:highlight w:val="none"/>
          <w:u w:val="none"/>
        </w:rPr>
        <w:t xml:space="preserve">ňovací kalová nádrž</w:t>
        <w:tab/>
        <w:tab/>
        <w:t xml:space="preserve">95 m3</w:t>
      </w:r>
      <w:r>
        <w:rPr>
          <w:b w:val="0"/>
          <w:bCs w:val="0"/>
          <w:sz w:val="22"/>
          <w:szCs w:val="22"/>
          <w:highlight w:val="none"/>
          <w:u w:val="none"/>
        </w:rPr>
      </w:r>
    </w:p>
    <w:p>
      <w:pPr>
        <w:pBdr/>
        <w:spacing w:after="0" w:line="276" w:lineRule="auto"/>
        <w:ind/>
        <w:rPr>
          <w:b w:val="0"/>
          <w:bCs w:val="0"/>
          <w:sz w:val="22"/>
          <w:szCs w:val="22"/>
          <w:highlight w:val="none"/>
          <w:u w:val="none"/>
        </w:rPr>
      </w:pPr>
      <w:r>
        <w:rPr>
          <w:b w:val="0"/>
          <w:bCs w:val="0"/>
          <w:sz w:val="22"/>
          <w:highlight w:val="none"/>
          <w:u w:val="none"/>
        </w:rPr>
        <w:t xml:space="preserve">Svozová jímka</w:t>
        <w:tab/>
        <w:tab/>
        <w:tab/>
        <w:t xml:space="preserve">27 m3</w:t>
      </w:r>
      <w:r>
        <w:rPr>
          <w:b w:val="0"/>
          <w:bCs w:val="0"/>
          <w:sz w:val="22"/>
          <w:highlight w:val="none"/>
          <w:u w:val="none"/>
        </w:rPr>
      </w:r>
      <w:r>
        <w:rPr>
          <w:b w:val="0"/>
          <w:bCs w:val="0"/>
          <w:sz w:val="22"/>
          <w:szCs w:val="22"/>
          <w:highlight w:val="none"/>
          <w:u w:val="none"/>
        </w:rPr>
      </w:r>
    </w:p>
    <w:p>
      <w:pPr>
        <w:pBdr/>
        <w:spacing w:after="0" w:line="276" w:lineRule="auto"/>
        <w:ind/>
        <w:rPr>
          <w:b w:val="0"/>
          <w:bCs w:val="0"/>
          <w:sz w:val="22"/>
          <w:szCs w:val="22"/>
          <w:highlight w:val="none"/>
          <w:u w:val="none"/>
        </w:rPr>
      </w:pPr>
      <w:r>
        <w:rPr>
          <w:b w:val="0"/>
          <w:bCs w:val="0"/>
          <w:sz w:val="22"/>
          <w:highlight w:val="none"/>
          <w:u w:val="none"/>
        </w:rPr>
        <w:t xml:space="preserve">Čerpací stanice</w:t>
        <w:tab/>
        <w:tab/>
        <w:tab/>
        <w:t xml:space="preserve">19 m3</w:t>
      </w:r>
      <w:r>
        <w:rPr>
          <w:b w:val="0"/>
          <w:bCs w:val="0"/>
          <w:sz w:val="22"/>
          <w:highlight w:val="none"/>
          <w:u w:val="none"/>
        </w:rPr>
      </w:r>
      <w:r>
        <w:rPr>
          <w:b w:val="0"/>
          <w:bCs w:val="0"/>
          <w:sz w:val="22"/>
          <w:szCs w:val="22"/>
          <w:highlight w:val="none"/>
          <w:u w:val="none"/>
        </w:rPr>
      </w:r>
    </w:p>
    <w:p>
      <w:pPr>
        <w:pBdr/>
        <w:spacing w:after="0" w:line="276" w:lineRule="auto"/>
        <w:ind/>
        <w:rPr>
          <w:b w:val="0"/>
          <w:bCs w:val="0"/>
          <w:sz w:val="22"/>
          <w:szCs w:val="22"/>
          <w:highlight w:val="none"/>
          <w:u w:val="none"/>
        </w:rPr>
      </w:pPr>
      <w:r>
        <w:rPr>
          <w:b w:val="0"/>
          <w:bCs w:val="0"/>
          <w:sz w:val="22"/>
          <w:highlight w:val="none"/>
          <w:u w:val="none"/>
        </w:rPr>
      </w:r>
      <w:r>
        <w:rPr>
          <w:b w:val="0"/>
          <w:bCs w:val="0"/>
          <w:sz w:val="22"/>
          <w:highlight w:val="none"/>
          <w:u w:val="none"/>
        </w:rPr>
      </w:r>
      <w:r>
        <w:rPr>
          <w:b w:val="0"/>
          <w:bCs w:val="0"/>
          <w:sz w:val="22"/>
          <w:highlight w:val="none"/>
          <w:u w:val="none"/>
        </w:rPr>
      </w:r>
    </w:p>
    <w:p>
      <w:pPr>
        <w:pBdr/>
        <w:spacing/>
        <w:ind w:firstLine="708"/>
        <w:rPr>
          <w:b/>
          <w:bCs/>
          <w:sz w:val="22"/>
          <w:szCs w:val="22"/>
          <w:highlight w:val="none"/>
          <w:u w:val="single"/>
        </w:rPr>
      </w:pPr>
      <w:r>
        <w:rPr>
          <w:b/>
          <w:sz w:val="22"/>
          <w:u w:val="single"/>
        </w:rPr>
        <w:t xml:space="preserve">SO 01 KALOLISOVNA </w:t>
      </w:r>
      <w:r>
        <w:rPr>
          <w:b/>
          <w:sz w:val="22"/>
          <w:u w:val="single"/>
        </w:rPr>
      </w:r>
    </w:p>
    <w:p>
      <w:pPr>
        <w:pBdr/>
        <w:spacing/>
        <w:ind w:firstLine="708"/>
        <w:rPr>
          <w:sz w:val="22"/>
        </w:rPr>
      </w:pPr>
      <w:r>
        <w:rPr>
          <w:sz w:val="22"/>
        </w:rPr>
        <w:t xml:space="preserve">Nově navržený objekt </w:t>
      </w:r>
      <w:r>
        <w:rPr>
          <w:sz w:val="22"/>
        </w:rPr>
        <w:t xml:space="preserve">kalolisovny</w:t>
      </w:r>
      <w:r>
        <w:rPr>
          <w:sz w:val="22"/>
        </w:rPr>
        <w:t xml:space="preserve"> je o půdorysných rozměrech 6,8 x 4,1 m s přístřeškem pro kontejner 5,0 x 4,1m. Objekt bude zastřešen jednotně, sedlová střecha sklonu 40st. s krytinou z betonové máčené tašky, barva červená. Nově vybudovaná plocha pro kontejner vč. podlahy v </w:t>
      </w:r>
      <w:r>
        <w:rPr>
          <w:sz w:val="22"/>
        </w:rPr>
        <w:t xml:space="preserve">kalolisovně</w:t>
      </w:r>
      <w:r>
        <w:rPr>
          <w:sz w:val="22"/>
        </w:rPr>
        <w:t xml:space="preserve"> budou odvodněny do objektu ČOV. V objektu </w:t>
      </w:r>
      <w:r>
        <w:rPr>
          <w:sz w:val="22"/>
        </w:rPr>
        <w:t xml:space="preserve">kalolisovny</w:t>
      </w:r>
      <w:r>
        <w:rPr>
          <w:sz w:val="22"/>
        </w:rPr>
        <w:t xml:space="preserve"> bude osazena kohout pitné vody s hadicí pro ostřik zařízení kalolisu. </w:t>
      </w:r>
      <w:r>
        <w:rPr>
          <w:sz w:val="22"/>
        </w:rPr>
      </w:r>
    </w:p>
    <w:p>
      <w:pPr>
        <w:pBdr/>
        <w:spacing/>
        <w:ind w:firstLine="708"/>
        <w:rPr>
          <w:b/>
          <w:sz w:val="22"/>
          <w:u w:val="single"/>
        </w:rPr>
      </w:pPr>
      <w:r>
        <w:rPr>
          <w:b/>
          <w:sz w:val="22"/>
          <w:u w:val="single"/>
        </w:rPr>
        <w:t xml:space="preserve">SO 02 NOVÁ BUDOVA ČOV </w:t>
      </w:r>
      <w:r>
        <w:rPr>
          <w:b/>
          <w:sz w:val="22"/>
          <w:u w:val="single"/>
        </w:rPr>
      </w:r>
    </w:p>
    <w:p>
      <w:pPr>
        <w:pBdr/>
        <w:spacing/>
        <w:ind w:firstLine="708"/>
        <w:rPr>
          <w:sz w:val="22"/>
        </w:rPr>
      </w:pPr>
      <w:r>
        <w:rPr>
          <w:sz w:val="22"/>
        </w:rPr>
        <w:t xml:space="preserve">Nově navržená budova ČOV bude aktivací s vnořenými dosazováky. Aktivace je navržena </w:t>
      </w:r>
      <w:r>
        <w:rPr>
          <w:sz w:val="22"/>
        </w:rPr>
        <w:t xml:space="preserve">mikrobublinnou</w:t>
      </w:r>
      <w:r>
        <w:rPr>
          <w:sz w:val="22"/>
        </w:rPr>
        <w:t xml:space="preserve"> </w:t>
      </w:r>
      <w:r>
        <w:rPr>
          <w:sz w:val="22"/>
        </w:rPr>
        <w:t xml:space="preserve">areací</w:t>
      </w:r>
      <w:r>
        <w:rPr>
          <w:sz w:val="22"/>
        </w:rPr>
        <w:t xml:space="preserve">. Nad vanou objektu ČOV bude na ŽB desce osazeno zařízení </w:t>
      </w:r>
      <w:r>
        <w:rPr>
          <w:sz w:val="22"/>
        </w:rPr>
        <w:t xml:space="preserve">dmychárny</w:t>
      </w:r>
      <w:r>
        <w:rPr>
          <w:sz w:val="22"/>
        </w:rPr>
        <w:t xml:space="preserve"> v samostatné místnosti. Aktivace bude opatřena zákrytovým objektem o výšce stěn 2500 mm a sedlovou střechou o sklonu 40st. s krytinou z betonové tašky máčené, barva červená. </w:t>
      </w:r>
      <w:r>
        <w:rPr>
          <w:sz w:val="22"/>
        </w:rPr>
      </w:r>
    </w:p>
    <w:p>
      <w:pPr>
        <w:pBdr/>
        <w:spacing/>
        <w:ind w:firstLine="708"/>
        <w:rPr>
          <w:b/>
          <w:sz w:val="22"/>
          <w:u w:val="single"/>
        </w:rPr>
      </w:pPr>
      <w:r>
        <w:rPr>
          <w:b/>
          <w:sz w:val="22"/>
          <w:u w:val="single"/>
        </w:rPr>
        <w:t xml:space="preserve">SO 03 OPLOCENÍ, ZPEVNĚNÉ PLOCHY A TERÉNNÍ ÚPRAVY </w:t>
      </w:r>
      <w:r>
        <w:rPr>
          <w:b/>
          <w:sz w:val="22"/>
          <w:u w:val="single"/>
        </w:rPr>
      </w:r>
    </w:p>
    <w:p>
      <w:pPr>
        <w:pBdr/>
        <w:spacing/>
        <w:ind w:firstLine="708"/>
        <w:rPr>
          <w:sz w:val="22"/>
        </w:rPr>
      </w:pPr>
      <w:r>
        <w:rPr>
          <w:sz w:val="22"/>
        </w:rPr>
        <w:t xml:space="preserve">Z důvodu stávajícího vedení VVN západně a severně od objektu ČOV bude nutno vybudovat nekovové oplocení – oplocení bude dřevěné na betonové podezdívce, </w:t>
      </w:r>
      <w:r>
        <w:rPr>
          <w:sz w:val="22"/>
        </w:rPr>
        <w:t xml:space="preserve">celk</w:t>
      </w:r>
      <w:r>
        <w:rPr>
          <w:sz w:val="22"/>
        </w:rPr>
        <w:t xml:space="preserve">. délka je 25,1m. Objekt ČOV zasahuje do ochranného pásma vedení. </w:t>
      </w:r>
      <w:r>
        <w:rPr>
          <w:sz w:val="22"/>
        </w:rPr>
      </w:r>
    </w:p>
    <w:p>
      <w:pPr>
        <w:pBdr/>
        <w:spacing/>
        <w:ind w:firstLine="708"/>
        <w:rPr>
          <w:sz w:val="22"/>
        </w:rPr>
      </w:pPr>
      <w:r>
        <w:rPr>
          <w:sz w:val="22"/>
        </w:rPr>
        <w:t xml:space="preserve">Zbytek navrženého oplocení jižně a východně od objektu ČOV bude běžného typu – </w:t>
      </w:r>
      <w:r>
        <w:rPr>
          <w:sz w:val="22"/>
        </w:rPr>
        <w:t xml:space="preserve">poplastované</w:t>
      </w:r>
      <w:r>
        <w:rPr>
          <w:sz w:val="22"/>
        </w:rPr>
        <w:t xml:space="preserve"> pletivo, ocelové sloupky, </w:t>
      </w:r>
      <w:r>
        <w:rPr>
          <w:sz w:val="22"/>
        </w:rPr>
        <w:t xml:space="preserve">podhrabová</w:t>
      </w:r>
      <w:r>
        <w:rPr>
          <w:sz w:val="22"/>
        </w:rPr>
        <w:t xml:space="preserve"> deska. </w:t>
      </w:r>
      <w:r>
        <w:rPr>
          <w:sz w:val="22"/>
        </w:rPr>
        <w:t xml:space="preserve">Celk</w:t>
      </w:r>
      <w:r>
        <w:rPr>
          <w:sz w:val="22"/>
        </w:rPr>
        <w:t xml:space="preserve">. délka je 44,93m. </w:t>
      </w:r>
      <w:r>
        <w:rPr>
          <w:sz w:val="22"/>
        </w:rPr>
      </w:r>
    </w:p>
    <w:p>
      <w:pPr>
        <w:pBdr/>
        <w:spacing/>
        <w:ind w:firstLine="708"/>
        <w:rPr>
          <w:sz w:val="22"/>
        </w:rPr>
      </w:pPr>
      <w:r>
        <w:rPr>
          <w:sz w:val="22"/>
        </w:rPr>
        <w:t xml:space="preserve">K nově navrženému objektu ČOV bude vybudován přístupový chodník. Chodník bude řešen zámkovou dlažbou </w:t>
      </w:r>
      <w:r>
        <w:rPr>
          <w:sz w:val="22"/>
        </w:rPr>
        <w:t xml:space="preserve">tl</w:t>
      </w:r>
      <w:r>
        <w:rPr>
          <w:sz w:val="22"/>
        </w:rPr>
        <w:t xml:space="preserve">. 60 mm, dlažba bude pokládána do kladecí vrstvy 30mm, která bude na podkladové vrstvě že </w:t>
      </w:r>
      <w:r>
        <w:rPr>
          <w:sz w:val="22"/>
        </w:rPr>
        <w:t xml:space="preserve">štěrkodrti</w:t>
      </w:r>
      <w:r>
        <w:rPr>
          <w:sz w:val="22"/>
        </w:rPr>
        <w:t xml:space="preserve"> 0-63. Zámková dlažba bude vkládána do zahradních obrub 50/200/1000. </w:t>
      </w:r>
      <w:r>
        <w:rPr>
          <w:sz w:val="22"/>
        </w:rPr>
      </w:r>
    </w:p>
    <w:p>
      <w:pPr>
        <w:pBdr/>
        <w:spacing/>
        <w:ind w:firstLine="708"/>
        <w:rPr>
          <w:sz w:val="22"/>
        </w:rPr>
      </w:pPr>
      <w:r>
        <w:rPr>
          <w:sz w:val="22"/>
        </w:rPr>
        <w:t xml:space="preserve">Terénní úpravy budou spočívat ve vybudování náspu – zarovnání terénu podél nově navržené nádrže ČOV. Terénní úpravy budou řešeny výkopkem získaným během zemních prací při výstavby objektu ČOV. Sklony svahu budou proměnlivé, 1:2 – 1:3. Svah bude urovnán a </w:t>
      </w:r>
      <w:r>
        <w:rPr>
          <w:sz w:val="22"/>
        </w:rPr>
        <w:t xml:space="preserve">ohumusován</w:t>
      </w:r>
      <w:r>
        <w:rPr>
          <w:sz w:val="22"/>
        </w:rPr>
        <w:t xml:space="preserve">, </w:t>
      </w:r>
      <w:r>
        <w:rPr>
          <w:sz w:val="22"/>
        </w:rPr>
        <w:t xml:space="preserve">tl</w:t>
      </w:r>
      <w:r>
        <w:rPr>
          <w:sz w:val="22"/>
        </w:rPr>
        <w:t xml:space="preserve">. 150 mm orničních, event. Podorničních vrstev a následné osetí travním semenem. </w:t>
      </w:r>
      <w:r>
        <w:rPr>
          <w:sz w:val="22"/>
        </w:rPr>
      </w:r>
    </w:p>
    <w:p>
      <w:pPr>
        <w:pBdr/>
        <w:spacing/>
        <w:ind w:firstLine="708"/>
        <w:rPr>
          <w:b/>
          <w:sz w:val="22"/>
          <w:u w:val="single"/>
        </w:rPr>
      </w:pPr>
      <w:r>
        <w:rPr>
          <w:b/>
          <w:sz w:val="22"/>
          <w:u w:val="single"/>
        </w:rPr>
        <w:t xml:space="preserve">SO 04 STÁVAJÍCÍ ČOV </w:t>
      </w:r>
      <w:r>
        <w:rPr>
          <w:b/>
          <w:sz w:val="22"/>
          <w:u w:val="single"/>
        </w:rPr>
      </w:r>
    </w:p>
    <w:p>
      <w:pPr>
        <w:pBdr/>
        <w:spacing/>
        <w:ind w:firstLine="708"/>
        <w:rPr>
          <w:sz w:val="22"/>
        </w:rPr>
      </w:pPr>
      <w:r>
        <w:rPr>
          <w:sz w:val="22"/>
        </w:rPr>
        <w:t xml:space="preserve">Stávající objekt ČOV bude během stavebních prací stavebně upraven. Po převedení do provozu čištění do nového objektu ČOV </w:t>
      </w:r>
      <w:r>
        <w:rPr>
          <w:sz w:val="22"/>
        </w:rPr>
        <w:t xml:space="preserve">bude</w:t>
      </w:r>
      <w:r>
        <w:rPr>
          <w:sz w:val="22"/>
        </w:rPr>
        <w:t xml:space="preserve"> stávající </w:t>
      </w:r>
      <w:r>
        <w:rPr>
          <w:sz w:val="22"/>
        </w:rPr>
        <w:t xml:space="preserve">budou</w:t>
      </w:r>
      <w:r>
        <w:rPr>
          <w:sz w:val="22"/>
        </w:rPr>
        <w:t xml:space="preserve"> stavebně upravena tak, aby došlo k vyhovění požadavkům na rozdílné využití jak podzemních, tak nadzemních prostor objektu. V nadzemní části objektu bude provedeno zazdění dveřního otvoru </w:t>
      </w:r>
      <w:r>
        <w:rPr>
          <w:sz w:val="22"/>
        </w:rPr>
        <w:t xml:space="preserve">velína</w:t>
      </w:r>
      <w:r>
        <w:rPr>
          <w:sz w:val="22"/>
        </w:rPr>
        <w:t xml:space="preserve"> a dojde k vybudování nového vstupu z venkovních prostor. Ve stávajících nádržích a stropních deskách budou vybourány nové otvory technologických prostupů – viz tabulka prostupů a příslušné výkresy.</w:t>
      </w:r>
      <w:r>
        <w:rPr>
          <w:sz w:val="22"/>
        </w:rPr>
      </w:r>
    </w:p>
    <w:p>
      <w:pPr>
        <w:pBdr/>
        <w:spacing/>
        <w:ind w:firstLine="708"/>
        <w:rPr>
          <w:sz w:val="22"/>
        </w:rPr>
      </w:pPr>
      <w:r>
        <w:rPr>
          <w:sz w:val="22"/>
        </w:rPr>
        <w:t xml:space="preserve">Veškeré nové sítě a technologické vystrojení bude řešeno v návaznosti na stávající. K novým objektům bude vybudován nový chodník. V areálu ČOV</w:t>
      </w:r>
      <w:r>
        <w:rPr>
          <w:sz w:val="22"/>
        </w:rPr>
        <w:t xml:space="preserve"> budou provedeny terénní úpravy dle PD</w:t>
      </w:r>
      <w:r>
        <w:rPr>
          <w:sz w:val="22"/>
        </w:rPr>
        <w:t xml:space="preserve">.</w:t>
      </w:r>
      <w:r>
        <w:rPr>
          <w:sz w:val="22"/>
        </w:rPr>
        <w:t xml:space="preserve"> </w:t>
      </w:r>
      <w:r>
        <w:rPr>
          <w:sz w:val="22"/>
        </w:rPr>
      </w:r>
    </w:p>
    <w:p>
      <w:pPr>
        <w:pStyle w:val="825"/>
        <w:pBdr/>
        <w:spacing/>
        <w:ind w:left="1418"/>
        <w:rPr/>
      </w:pPr>
      <w:r/>
      <w:r/>
    </w:p>
    <w:p>
      <w:pPr>
        <w:pStyle w:val="825"/>
        <w:numPr>
          <w:ilvl w:val="1"/>
          <w:numId w:val="3"/>
        </w:numPr>
        <w:pBdr/>
        <w:spacing/>
        <w:ind/>
        <w:outlineLvl w:val="1"/>
        <w:rPr>
          <w:b/>
          <w:sz w:val="22"/>
        </w:rPr>
      </w:pPr>
      <w:r/>
      <w:bookmarkStart w:id="6" w:name="_Toc195565192"/>
      <w:r>
        <w:rPr>
          <w:b/>
          <w:sz w:val="22"/>
        </w:rPr>
        <w:t xml:space="preserve">Technologické řešení – základní popis technických a technologických zařízení</w:t>
      </w:r>
      <w:bookmarkEnd w:id="6"/>
      <w:r/>
      <w:r>
        <w:rPr>
          <w:b/>
          <w:sz w:val="22"/>
        </w:rPr>
      </w:r>
    </w:p>
    <w:p>
      <w:pPr>
        <w:pBdr/>
        <w:spacing/>
        <w:ind w:firstLine="708"/>
        <w:outlineLvl w:val="1"/>
        <w:rPr>
          <w:highlight w:val="none"/>
        </w:rPr>
      </w:pPr>
      <w:r>
        <w:rPr>
          <w:highlight w:val="none"/>
        </w:rPr>
        <w:t xml:space="preserve">Skladba objektů technologie: rotační bubnové síto s integrovaným lisem na shrabky, biologický reaktor, čerpací jímka na odtoku, svozová jímka fekálních vod, nově ve funkci jímky kalové vody, kalové hospodářství, technologická elektroinstalace, MaR. </w:t>
      </w:r>
      <w:r>
        <w:rPr>
          <w:highlight w:val="none"/>
        </w:rPr>
      </w:r>
    </w:p>
    <w:p>
      <w:pPr>
        <w:pBdr/>
        <w:spacing/>
        <w:ind w:firstLine="708"/>
        <w:outlineLvl w:val="1"/>
        <w:rPr>
          <w:highlight w:val="none"/>
        </w:rPr>
      </w:pPr>
      <w:r>
        <w:rPr>
          <w:highlight w:val="none"/>
        </w:rPr>
        <w:t xml:space="preserve">Odpadní splaškové vody jsou přiváděny výtlakem na mechanické předčištění – rotační bubnové síto s proplachem shrabků a lisem na shrabky. </w:t>
      </w:r>
      <w:r>
        <w:rPr>
          <w:highlight w:val="none"/>
        </w:rPr>
        <w:t xml:space="preserve">Mechanicky předčištěná voda natéká před rozdělovací objekt do dvou denitrifikačních nádrží biologického rekatoru, vybavených ponornými míchadly a jemnobublinnými aeračními systémy. V denitrifikačním prostoru docházi k biologickému odstra</w:t>
      </w:r>
      <w:r>
        <w:rPr>
          <w:highlight w:val="none"/>
        </w:rPr>
        <w:t xml:space="preserve">ňování dusíku z odpadní vody tím způsobem, že za anoxických podmínek směsná bakteriální populace aktivovaného kalu využívá chemicky vázaný kyslík v dusičnanech jako konečný akceptor elektronů v procesu nitrátové respirace. Dusičnany jsou redukovány na plynný molekulární dusík, který je vymícháván do atmosféry. </w:t>
      </w:r>
      <w:r>
        <w:rPr>
          <w:highlight w:val="none"/>
        </w:rPr>
      </w:r>
    </w:p>
    <w:p>
      <w:pPr>
        <w:pBdr/>
        <w:spacing/>
        <w:ind w:firstLine="708"/>
        <w:outlineLvl w:val="1"/>
        <w:rPr/>
      </w:pPr>
      <w:r>
        <w:rPr>
          <w:highlight w:val="none"/>
        </w:rPr>
        <w:t xml:space="preserve">Podmínkou pro úspěšný průběh nitrátové respirace je nepřítomnost rozpuštěného vzdušného kyslíku, přítomnost dusičnanových aniontů a zdroje organického uhlíku v přitékající odpadní vodě. Kombinace denitrifikace v samostatné anoxické zóně a dynamické nitrifik</w:t>
      </w:r>
      <w:r>
        <w:rPr>
          <w:highlight w:val="none"/>
        </w:rPr>
        <w:t xml:space="preserve">ace zajištěné přerušovaným provzdušňováním zaručuje vysoký stupeň odstranění dusíkatého znečištění z odpadní vody.  </w:t>
      </w:r>
      <w:r>
        <w:rPr>
          <w:highlight w:val="none"/>
        </w:rPr>
      </w:r>
    </w:p>
    <w:p>
      <w:pPr>
        <w:pBdr/>
        <w:spacing/>
        <w:ind w:firstLine="708"/>
        <w:outlineLvl w:val="1"/>
        <w:rPr/>
      </w:pPr>
      <w:r>
        <w:rPr>
          <w:highlight w:val="none"/>
        </w:rPr>
        <w:t xml:space="preserve">Směs odpadní vody a aktivovaného kalu je z denitrifikačních nádrží přiváděna gravitačně do obou aktivačně-nitrifikačních částí biologického reaktoru. Z nitrifikačních nádrží je část aktivované směsi čerpána zpět do denitrifikací (vnitřní recirkulace kalu). </w:t>
      </w:r>
      <w:r>
        <w:rPr>
          <w:highlight w:val="none"/>
        </w:rPr>
        <w:t xml:space="preserve">  </w:t>
      </w:r>
      <w:r>
        <w:rPr>
          <w:highlight w:val="none"/>
        </w:rPr>
      </w:r>
    </w:p>
    <w:p>
      <w:pPr>
        <w:pBdr/>
        <w:spacing/>
        <w:ind w:firstLine="708"/>
        <w:outlineLvl w:val="1"/>
        <w:rPr/>
      </w:pPr>
      <w:r>
        <w:rPr>
          <w:highlight w:val="none"/>
        </w:rPr>
        <w:t xml:space="preserve">V aktivačních nádržích, které jsou provzdušňovány, dochází k biologickému odstraňování organického znečištění z odpadní vody. Organické látky jsou oxidovány na oxid uhličitý a vodu a částečně je organický uhlík využíván k růstu biomasy aktivovaného kalu.   </w:t>
      </w:r>
      <w:r>
        <w:rPr>
          <w:highlight w:val="none"/>
        </w:rPr>
        <w:t xml:space="preserve">                          </w:t>
      </w:r>
      <w:r>
        <w:rPr>
          <w:highlight w:val="none"/>
        </w:rPr>
      </w:r>
    </w:p>
    <w:p>
      <w:pPr>
        <w:pBdr/>
        <w:spacing/>
        <w:ind w:firstLine="708"/>
        <w:outlineLvl w:val="1"/>
        <w:rPr/>
      </w:pPr>
      <w:r>
        <w:rPr>
          <w:highlight w:val="none"/>
        </w:rPr>
        <w:t xml:space="preserve">V aktivačním systému jsou přítomné ionty amoniakálního dusíku NH4+ oxidovány na dusičnany. Podmínkou pro úspěšný průběh těchto pochodů je zajištění parametrů nízkozatížené aktivace s aerobní stabilizací kalu. </w:t>
      </w:r>
      <w:r>
        <w:rPr>
          <w:highlight w:val="none"/>
        </w:rPr>
      </w:r>
    </w:p>
    <w:p>
      <w:pPr>
        <w:pBdr/>
        <w:spacing/>
        <w:ind w:firstLine="708"/>
        <w:outlineLvl w:val="1"/>
        <w:rPr/>
      </w:pPr>
      <w:r>
        <w:rPr>
          <w:highlight w:val="none"/>
        </w:rPr>
        <w:t xml:space="preserve">Vyčištěná odpadní voda je oddělována od aktivovaného kalu v kuželových dosazovacích nádržích dortmundského typu, umístěných v aktivačních nádržích a odváděna odtokovými ponornými trubkami do čerpací jímky, která současně slouží jako akumulační nádrž vyčiště</w:t>
      </w:r>
      <w:r>
        <w:rPr>
          <w:highlight w:val="none"/>
        </w:rPr>
        <w:t xml:space="preserve">né vody. Z čerpací jímky je voda čerpána do recipientu. </w:t>
      </w:r>
      <w:r>
        <w:rPr>
          <w:highlight w:val="none"/>
        </w:rPr>
      </w:r>
    </w:p>
    <w:p>
      <w:pPr>
        <w:pBdr/>
        <w:spacing/>
        <w:ind/>
        <w:outlineLvl w:val="1"/>
        <w:rPr/>
      </w:pPr>
      <w:r>
        <w:rPr>
          <w:highlight w:val="none"/>
        </w:rPr>
        <w:t xml:space="preserve"> Ze spodních částí dosazovacích nádrží je aktivovaný kal přečerpáván pomocí recirkulačních čerpadel (vnější recirkulace) do denitrifikace. Nadbytečný kal je přečerpáván čerpadlem do zahušťovací kalové nádrže a následně do uskladňovací kalové nádrže. Obě kal</w:t>
      </w:r>
      <w:r>
        <w:rPr>
          <w:highlight w:val="none"/>
        </w:rPr>
        <w:t xml:space="preserve">ové nádrže jsou vybavené středobublinnými aeračními elementy. Předpokládá se zahuštění přebytečného kalu na výslednou koncentraci cca 3 - 4 %, kal je aerobně stabilizovaný a bude odvodňován na sítopásovém kalolisu, dosahovaná sušina cca 18-24 %.</w:t>
      </w:r>
      <w:r>
        <w:rPr>
          <w:highlight w:val="none"/>
        </w:rPr>
      </w:r>
    </w:p>
    <w:p>
      <w:pPr>
        <w:pBdr/>
        <w:spacing/>
        <w:ind/>
        <w:outlineLvl w:val="1"/>
        <w:rPr/>
      </w:pPr>
      <w:r>
        <w:rPr>
          <w:highlight w:val="none"/>
        </w:rPr>
        <w:t xml:space="preserve">Množství celkového fosforu na odtoku z ČOV je regulováno chemickým srážením. </w:t>
      </w:r>
      <w:r>
        <w:rPr>
          <w:highlight w:val="none"/>
        </w:rPr>
      </w:r>
      <w:r>
        <w:rPr>
          <w:highlight w:val="none"/>
        </w:rPr>
      </w:r>
      <w:r>
        <w:rPr>
          <w:highlight w:val="none"/>
        </w:rPr>
      </w:r>
      <w:r>
        <w:rPr>
          <w:highlight w:val="none"/>
        </w:rPr>
      </w:r>
    </w:p>
    <w:p>
      <w:pPr>
        <w:pBdr/>
        <w:spacing/>
        <w:ind/>
        <w:outlineLvl w:val="1"/>
        <w:rPr>
          <w:highlight w:val="none"/>
        </w:rPr>
      </w:pPr>
      <w:r>
        <w:rPr>
          <w:highlight w:val="none"/>
        </w:rPr>
        <w:t xml:space="preserve">ČOV je vybavena obtokovým potrubí z výtlaku na ČOV napojeným před mechanickým předčištěním a zaústěným do odtokového potrubí (obtok ČOV dodávka stavby). </w:t>
      </w:r>
      <w:r>
        <w:rPr>
          <w:highlight w:val="none"/>
        </w:rPr>
      </w:r>
      <w:r>
        <w:rPr>
          <w:highlight w:val="none"/>
        </w:rPr>
      </w:r>
      <w:r>
        <w:rPr>
          <w:highlight w:val="none"/>
        </w:rPr>
      </w:r>
      <w:r>
        <w:rPr>
          <w:highlight w:val="none"/>
        </w:rPr>
      </w:r>
    </w:p>
    <w:p>
      <w:pPr>
        <w:pStyle w:val="825"/>
        <w:pBdr/>
        <w:spacing/>
        <w:ind w:firstLine="567" w:left="0"/>
        <w:rPr>
          <w:sz w:val="22"/>
          <w:u w:val="single"/>
        </w:rPr>
      </w:pPr>
      <w:r>
        <w:rPr>
          <w:sz w:val="22"/>
          <w:u w:val="single"/>
        </w:rPr>
      </w:r>
      <w:r>
        <w:rPr>
          <w:sz w:val="22"/>
          <w:u w:val="single"/>
        </w:rPr>
      </w:r>
    </w:p>
    <w:p>
      <w:pPr>
        <w:pStyle w:val="825"/>
        <w:pBdr/>
        <w:spacing/>
        <w:ind w:firstLine="567" w:left="0"/>
        <w:rPr>
          <w:b/>
          <w:bCs/>
          <w:sz w:val="22"/>
          <w:u w:val="single"/>
        </w:rPr>
      </w:pPr>
      <w:r>
        <w:rPr>
          <w:b/>
          <w:bCs/>
          <w:sz w:val="22"/>
          <w:u w:val="single"/>
        </w:rPr>
        <w:t xml:space="preserve">Výpočet a dimenzování ČOV na 2500 EO:</w:t>
      </w:r>
      <w:r>
        <w:rPr>
          <w:b/>
          <w:bCs/>
          <w:sz w:val="22"/>
          <w:u w:val="single"/>
        </w:rPr>
      </w:r>
    </w:p>
    <w:tbl>
      <w:tblPr>
        <w:tblInd w:w="70" w:type="dxa"/>
        <w:tblW w:w="10094" w:type="dxa"/>
        <w:tblCellMar>
          <w:left w:w="70" w:type="dxa"/>
          <w:right w:w="70" w:type="dxa"/>
        </w:tblCellMar>
        <w:tblBorders/>
        <w:tblLook w:val="04A0" w:firstRow="1" w:lastRow="0" w:firstColumn="1" w:lastColumn="0" w:noHBand="0" w:noVBand="1"/>
      </w:tblPr>
      <w:tblGrid>
        <w:gridCol w:w="1100"/>
        <w:gridCol w:w="1036"/>
        <w:gridCol w:w="1121"/>
        <w:gridCol w:w="976"/>
        <w:gridCol w:w="976"/>
        <w:gridCol w:w="976"/>
        <w:gridCol w:w="478"/>
        <w:gridCol w:w="622"/>
        <w:gridCol w:w="1079"/>
        <w:gridCol w:w="500"/>
        <w:gridCol w:w="965"/>
        <w:gridCol w:w="265"/>
      </w:tblGrid>
      <w:tr>
        <w:trPr>
          <w:trHeight w:val="20"/>
        </w:trPr>
        <w:tc>
          <w:tcPr>
            <w:gridSpan w:val="11"/>
            <w:shd w:val="clear" w:color="000000" w:fill="dce6f1"/>
            <w:tcBorders>
              <w:top w:val="single" w:color="auto" w:sz="4" w:space="0"/>
              <w:left w:val="single" w:color="auto" w:sz="4" w:space="0"/>
              <w:bottom w:val="single" w:color="auto" w:sz="4" w:space="0"/>
              <w:right w:val="none" w:color="000000" w:sz="4" w:space="0"/>
            </w:tcBorders>
            <w:tcW w:w="9829" w:type="dxa"/>
            <w:vAlign w:val="bottom"/>
            <w:textDirection w:val="lrTb"/>
            <w:noWrap/>
          </w:tcPr>
          <w:p>
            <w:pPr>
              <w:pBdr/>
              <w:spacing/>
              <w:ind/>
              <w:rPr>
                <w:rFonts w:ascii="Verdana" w:hAnsi="Verdana" w:eastAsia="Times New Roman" w:cs="Calibri"/>
                <w:b/>
                <w:bCs/>
                <w:color w:val="000000"/>
                <w:sz w:val="18"/>
                <w:szCs w:val="22"/>
                <w:lang w:eastAsia="cs-CZ"/>
              </w:rPr>
            </w:pPr>
            <w:r>
              <w:rPr>
                <w:rFonts w:ascii="Verdana" w:hAnsi="Verdana" w:eastAsia="Times New Roman" w:cs="Calibri"/>
                <w:b/>
                <w:bCs/>
                <w:color w:val="000000"/>
                <w:sz w:val="18"/>
                <w:szCs w:val="22"/>
                <w:lang w:eastAsia="cs-CZ"/>
              </w:rPr>
              <w:t xml:space="preserve">Dimenzování ČOV</w:t>
            </w:r>
            <w:r>
              <w:rPr>
                <w:rFonts w:ascii="Verdana" w:hAnsi="Verdana" w:eastAsia="Times New Roman" w:cs="Calibri"/>
                <w:b/>
                <w:bCs/>
                <w:color w:val="000000"/>
                <w:sz w:val="18"/>
                <w:szCs w:val="22"/>
                <w:lang w:eastAsia="cs-CZ"/>
              </w:rPr>
              <w:t xml:space="preserve"> 2 500 EO</w:t>
            </w:r>
            <w:r>
              <w:rPr>
                <w:rFonts w:ascii="Verdana" w:hAnsi="Verdana" w:eastAsia="Times New Roman" w:cs="Calibri"/>
                <w:b/>
                <w:bCs/>
                <w:color w:val="000000"/>
                <w:sz w:val="18"/>
                <w:szCs w:val="22"/>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t xml:space="preserve"> </w:t>
            </w:r>
            <w:r>
              <w:rPr>
                <w:rFonts w:ascii="Calibri" w:hAnsi="Calibri" w:eastAsia="Times New Roman" w:cs="Calibri"/>
                <w:color w:val="000000"/>
                <w:sz w:val="18"/>
                <w:szCs w:val="20"/>
                <w:lang w:eastAsia="cs-CZ"/>
              </w:rPr>
            </w:r>
          </w:p>
        </w:tc>
      </w:tr>
      <w:tr>
        <w:trPr>
          <w:trHeight w:val="20"/>
        </w:trPr>
        <w:tc>
          <w:tcPr>
            <w:gridSpan w:val="4"/>
            <w:shd w:val="clear" w:color="000000" w:fill="dce6f1"/>
            <w:tcBorders>
              <w:top w:val="single" w:color="auto" w:sz="4" w:space="0"/>
              <w:left w:val="single" w:color="auto" w:sz="4" w:space="0"/>
              <w:bottom w:val="single" w:color="auto" w:sz="4" w:space="0"/>
              <w:right w:val="none" w:color="000000" w:sz="4" w:space="0"/>
            </w:tcBorders>
            <w:tcW w:w="4233" w:type="dxa"/>
            <w:vAlign w:val="bottom"/>
            <w:textDirection w:val="lrTb"/>
            <w:noWrap/>
          </w:tcPr>
          <w:p>
            <w:pPr>
              <w:pBdr/>
              <w:spacing/>
              <w:ind/>
              <w:rPr>
                <w:rFonts w:ascii="Verdana" w:hAnsi="Verdana" w:eastAsia="Times New Roman" w:cs="Calibri"/>
                <w:b/>
                <w:bCs/>
                <w:color w:val="000000"/>
                <w:sz w:val="18"/>
                <w:szCs w:val="22"/>
                <w:lang w:eastAsia="cs-CZ"/>
              </w:rPr>
            </w:pPr>
            <w:r>
              <w:rPr>
                <w:rFonts w:ascii="Verdana" w:hAnsi="Verdana" w:eastAsia="Times New Roman" w:cs="Calibri"/>
                <w:b/>
                <w:bCs/>
                <w:color w:val="000000"/>
                <w:sz w:val="18"/>
                <w:szCs w:val="22"/>
                <w:lang w:eastAsia="cs-CZ"/>
              </w:rPr>
              <w:t xml:space="preserve">1. Množství odpadních vod</w:t>
            </w:r>
            <w:r>
              <w:rPr>
                <w:rFonts w:ascii="Verdana" w:hAnsi="Verdana" w:eastAsia="Times New Roman" w:cs="Calibri"/>
                <w:b/>
                <w:bCs/>
                <w:color w:val="000000"/>
                <w:sz w:val="18"/>
                <w:szCs w:val="22"/>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t xml:space="preserve"> </w:t>
            </w:r>
            <w:r>
              <w:rPr>
                <w:rFonts w:ascii="Calibri" w:hAnsi="Calibri" w:eastAsia="Times New Roman" w:cs="Calibri"/>
                <w:color w:val="000000"/>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t xml:space="preserve"> </w:t>
            </w:r>
            <w:r>
              <w:rPr>
                <w:rFonts w:ascii="Calibri" w:hAnsi="Calibri" w:eastAsia="Times New Roman" w:cs="Calibri"/>
                <w:color w:val="000000"/>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t xml:space="preserve"> </w:t>
            </w:r>
            <w:r>
              <w:rPr>
                <w:rFonts w:ascii="Calibri" w:hAnsi="Calibri" w:eastAsia="Times New Roman" w:cs="Calibri"/>
                <w:color w:val="000000"/>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1079"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t xml:space="preserve"> </w:t>
            </w:r>
            <w:r>
              <w:rPr>
                <w:rFonts w:ascii="Calibri" w:hAnsi="Calibri" w:eastAsia="Times New Roman" w:cs="Calibri"/>
                <w:color w:val="000000"/>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465"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t xml:space="preserve"> </w:t>
            </w:r>
            <w:r>
              <w:rPr>
                <w:rFonts w:ascii="Calibri" w:hAnsi="Calibri" w:eastAsia="Times New Roman" w:cs="Calibri"/>
                <w:color w:val="000000"/>
                <w:sz w:val="18"/>
                <w:szCs w:val="20"/>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t xml:space="preserve"> </w:t>
            </w:r>
            <w:r>
              <w:rPr>
                <w:rFonts w:ascii="Calibri" w:hAnsi="Calibri" w:eastAsia="Times New Roman" w:cs="Calibri"/>
                <w:color w:val="000000"/>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color w:val="000000"/>
                <w:sz w:val="18"/>
                <w:szCs w:val="20"/>
                <w:lang w:eastAsia="cs-CZ"/>
              </w:rPr>
            </w:pPr>
            <w:r>
              <w:rPr>
                <w:rFonts w:ascii="Calibri" w:hAnsi="Calibri" w:eastAsia="Times New Roman" w:cs="Calibri"/>
                <w:color w:val="000000"/>
                <w:sz w:val="18"/>
                <w:szCs w:val="20"/>
                <w:lang w:eastAsia="cs-CZ"/>
              </w:rPr>
            </w:r>
            <w:r>
              <w:rPr>
                <w:rFonts w:ascii="Calibri" w:hAnsi="Calibri" w:eastAsia="Times New Roman" w:cs="Calibri"/>
                <w:color w:val="000000"/>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Počet obyvatel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2500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Spotřeba vody</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130</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l/obyv./den</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Množství odpadních vod</w:t>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952"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obyvatelstvo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325,0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/den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průmysl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/den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952"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balastní vody</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16,25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/den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ostatní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/den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Celkem </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Q</w:t>
            </w:r>
            <w:r>
              <w:rPr>
                <w:rFonts w:ascii="Calibri" w:hAnsi="Calibri" w:eastAsia="Times New Roman" w:cs="Calibri"/>
                <w:b/>
                <w:bCs/>
                <w:sz w:val="18"/>
                <w:szCs w:val="20"/>
                <w:vertAlign w:val="subscript"/>
                <w:lang w:eastAsia="cs-CZ"/>
              </w:rPr>
              <w:t xml:space="preserve">24</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341,3</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/den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14,2</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3,95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l/s</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Koeficient denní nerovnoměrnosti</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1,4</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Denní maximum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Q</w:t>
            </w:r>
            <w:r>
              <w:rPr>
                <w:rFonts w:ascii="Calibri" w:hAnsi="Calibri" w:eastAsia="Times New Roman" w:cs="Calibri"/>
                <w:b/>
                <w:bCs/>
                <w:sz w:val="18"/>
                <w:szCs w:val="20"/>
                <w:vertAlign w:val="subscript"/>
                <w:lang w:eastAsia="cs-CZ"/>
              </w:rPr>
              <w:t xml:space="preserve">dmax</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477,8</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/den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19,9</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5,53</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l/s</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5"/>
            <w:shd w:val="clear" w:color="auto" w:fill="auto"/>
            <w:tcBorders>
              <w:top w:val="none" w:color="000000" w:sz="4" w:space="0"/>
              <w:left w:val="none" w:color="000000" w:sz="4" w:space="0"/>
              <w:bottom w:val="none" w:color="000000" w:sz="4" w:space="0"/>
              <w:right w:val="none" w:color="000000" w:sz="4" w:space="0"/>
            </w:tcBorders>
            <w:tcW w:w="520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Koeficient maximální hodinové nerovnoměrnosti</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Návrhový přítok</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Q</w:t>
            </w:r>
            <w:r>
              <w:rPr>
                <w:rFonts w:ascii="Calibri" w:hAnsi="Calibri" w:eastAsia="Times New Roman" w:cs="Calibri"/>
                <w:b/>
                <w:bCs/>
                <w:sz w:val="18"/>
                <w:szCs w:val="20"/>
                <w:vertAlign w:val="subscript"/>
                <w:lang w:eastAsia="cs-CZ"/>
              </w:rPr>
              <w:t xml:space="preserve">návrh</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41,8</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11,61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l/s</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5"/>
            <w:shd w:val="clear" w:color="auto" w:fill="auto"/>
            <w:tcBorders>
              <w:top w:val="none" w:color="000000" w:sz="4" w:space="0"/>
              <w:left w:val="none" w:color="000000" w:sz="4" w:space="0"/>
              <w:bottom w:val="none" w:color="000000" w:sz="4" w:space="0"/>
              <w:right w:val="none" w:color="000000" w:sz="4" w:space="0"/>
            </w:tcBorders>
            <w:tcW w:w="520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Koeficient minimální hodinové nerovnoměrnosti</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0,6</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Minimální přítok</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Q</w:t>
            </w:r>
            <w:r>
              <w:rPr>
                <w:rFonts w:ascii="Calibri" w:hAnsi="Calibri" w:eastAsia="Times New Roman" w:cs="Calibri"/>
                <w:b/>
                <w:bCs/>
                <w:sz w:val="18"/>
                <w:szCs w:val="20"/>
                <w:vertAlign w:val="subscript"/>
                <w:lang w:eastAsia="cs-CZ"/>
              </w:rPr>
              <w:t xml:space="preserve">min</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8,5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2,37</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l/s</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000000" w:fill="dce6f1"/>
            <w:tcBorders>
              <w:top w:val="single" w:color="auto" w:sz="4" w:space="0"/>
              <w:left w:val="single" w:color="auto" w:sz="4" w:space="0"/>
              <w:bottom w:val="single" w:color="auto" w:sz="4" w:space="0"/>
              <w:right w:val="none" w:color="000000" w:sz="4" w:space="0"/>
            </w:tcBorders>
            <w:tcW w:w="4233" w:type="dxa"/>
            <w:vAlign w:val="bottom"/>
            <w:textDirection w:val="lrTb"/>
            <w:noWrap/>
          </w:tcPr>
          <w:p>
            <w:pPr>
              <w:pBdr/>
              <w:spacing/>
              <w:ind/>
              <w:rPr>
                <w:rFonts w:ascii="Verdana" w:hAnsi="Verdana" w:eastAsia="Times New Roman" w:cs="Calibri"/>
                <w:b/>
                <w:bCs/>
                <w:sz w:val="18"/>
                <w:szCs w:val="22"/>
                <w:lang w:eastAsia="cs-CZ"/>
              </w:rPr>
            </w:pPr>
            <w:r>
              <w:rPr>
                <w:rFonts w:ascii="Verdana" w:hAnsi="Verdana" w:eastAsia="Times New Roman" w:cs="Calibri"/>
                <w:b/>
                <w:bCs/>
                <w:sz w:val="18"/>
                <w:szCs w:val="22"/>
                <w:lang w:eastAsia="cs-CZ"/>
              </w:rPr>
              <w:t xml:space="preserve">2. Znečištění a koncentrace</w:t>
            </w:r>
            <w:r>
              <w:rPr>
                <w:rFonts w:ascii="Verdana" w:hAnsi="Verdana" w:eastAsia="Times New Roman" w:cs="Calibri"/>
                <w:b/>
                <w:bCs/>
                <w:sz w:val="18"/>
                <w:szCs w:val="22"/>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Počet obyvatel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2500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Produkce BSK na obyvatele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60</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w:t>
            </w:r>
            <w:r>
              <w:rPr>
                <w:rFonts w:ascii="Calibri" w:hAnsi="Calibri" w:eastAsia="Times New Roman" w:cs="Calibri"/>
                <w:sz w:val="18"/>
                <w:szCs w:val="20"/>
                <w:lang w:eastAsia="cs-CZ"/>
              </w:rPr>
              <w:t xml:space="preserve">obyv∙den</w:t>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BSK zatížení</w:t>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obyvatelstvo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průmysl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zemědělství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ostatní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celkem BSK</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průměrná koncentrace při 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439,6</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přepočet BSK zatížení na EO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2500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Produkce CHSK na obyvatele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120</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w:t>
            </w:r>
            <w:r>
              <w:rPr>
                <w:rFonts w:ascii="Calibri" w:hAnsi="Calibri" w:eastAsia="Times New Roman" w:cs="Calibri"/>
                <w:sz w:val="18"/>
                <w:szCs w:val="20"/>
                <w:lang w:eastAsia="cs-CZ"/>
              </w:rPr>
              <w:t xml:space="preserve">obyv∙den</w:t>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CHSK zatížení</w:t>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obyvatelstvo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průmysl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zemědělství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ostatní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celkem CHSK</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průměrná koncentrace při 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879,1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Produkce NL na obyvatele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55</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w:t>
            </w:r>
            <w:r>
              <w:rPr>
                <w:rFonts w:ascii="Calibri" w:hAnsi="Calibri" w:eastAsia="Times New Roman" w:cs="Calibri"/>
                <w:sz w:val="18"/>
                <w:szCs w:val="20"/>
                <w:lang w:eastAsia="cs-CZ"/>
              </w:rPr>
              <w:t xml:space="preserve">obyv∙den</w:t>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NL zatížení</w:t>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obyvatelstvo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137,50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průmysl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zemědělství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ostatní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celkem NL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137,50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průměrná koncentrace při 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402,9</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Produkce N-</w:t>
            </w:r>
            <w:r>
              <w:rPr>
                <w:rFonts w:ascii="Calibri" w:hAnsi="Calibri" w:eastAsia="Times New Roman" w:cs="Calibri"/>
                <w:sz w:val="18"/>
                <w:szCs w:val="20"/>
                <w:lang w:eastAsia="cs-CZ"/>
              </w:rPr>
              <w:t xml:space="preserve">kj</w:t>
            </w:r>
            <w:r>
              <w:rPr>
                <w:rFonts w:ascii="Calibri" w:hAnsi="Calibri" w:eastAsia="Times New Roman" w:cs="Calibri"/>
                <w:sz w:val="18"/>
                <w:szCs w:val="20"/>
                <w:lang w:eastAsia="cs-CZ"/>
              </w:rPr>
              <w:t xml:space="preserve"> na obyvatele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12</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w:t>
            </w:r>
            <w:r>
              <w:rPr>
                <w:rFonts w:ascii="Calibri" w:hAnsi="Calibri" w:eastAsia="Times New Roman" w:cs="Calibri"/>
                <w:sz w:val="18"/>
                <w:szCs w:val="20"/>
                <w:lang w:eastAsia="cs-CZ"/>
              </w:rPr>
              <w:t xml:space="preserve">obyv∙den</w:t>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w:t>
            </w:r>
            <w:r>
              <w:rPr>
                <w:rFonts w:ascii="Calibri" w:hAnsi="Calibri" w:eastAsia="Times New Roman" w:cs="Calibri"/>
                <w:sz w:val="18"/>
                <w:szCs w:val="20"/>
                <w:lang w:eastAsia="cs-CZ"/>
              </w:rPr>
              <w:t xml:space="preserve">kj</w:t>
            </w:r>
            <w:r>
              <w:rPr>
                <w:rFonts w:ascii="Calibri" w:hAnsi="Calibri" w:eastAsia="Times New Roman" w:cs="Calibri"/>
                <w:sz w:val="18"/>
                <w:szCs w:val="20"/>
                <w:lang w:eastAsia="cs-CZ"/>
              </w:rPr>
              <w:t xml:space="preserve"> zatížení</w:t>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obyvatelstvo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30,00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průmysl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zemědělství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ostatní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celkem N-</w:t>
            </w:r>
            <w:r>
              <w:rPr>
                <w:rFonts w:ascii="Calibri" w:hAnsi="Calibri" w:eastAsia="Times New Roman" w:cs="Calibri"/>
                <w:sz w:val="18"/>
                <w:szCs w:val="20"/>
                <w:lang w:eastAsia="cs-CZ"/>
              </w:rPr>
              <w:t xml:space="preserve">kj</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30,00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průměrná koncentrace při 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87,9</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Produkce P na obyvatele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2,5</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w:t>
            </w:r>
            <w:r>
              <w:rPr>
                <w:rFonts w:ascii="Calibri" w:hAnsi="Calibri" w:eastAsia="Times New Roman" w:cs="Calibri"/>
                <w:sz w:val="18"/>
                <w:szCs w:val="20"/>
                <w:lang w:eastAsia="cs-CZ"/>
              </w:rPr>
              <w:t xml:space="preserve">obyv∙den</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 zatížení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obyvatelstvo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6,25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průmysl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209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zemědělství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ostatní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celkem P</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6,25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průměrná koncentrace při 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0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18,3</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9"/>
            <w:shd w:val="clear" w:color="000000" w:fill="dce6f1"/>
            <w:tcBorders>
              <w:top w:val="single" w:color="auto" w:sz="4" w:space="0"/>
              <w:left w:val="single" w:color="auto" w:sz="4" w:space="0"/>
              <w:bottom w:val="single" w:color="auto" w:sz="4" w:space="0"/>
              <w:right w:val="none" w:color="000000" w:sz="4" w:space="0"/>
            </w:tcBorders>
            <w:tcW w:w="8364" w:type="dxa"/>
            <w:vAlign w:val="bottom"/>
            <w:textDirection w:val="lrTb"/>
            <w:noWrap/>
          </w:tcPr>
          <w:p>
            <w:pPr>
              <w:pBdr/>
              <w:spacing/>
              <w:ind/>
              <w:rPr>
                <w:rFonts w:ascii="Verdana" w:hAnsi="Verdana" w:eastAsia="Times New Roman" w:cs="Calibri"/>
                <w:b/>
                <w:bCs/>
                <w:sz w:val="18"/>
                <w:szCs w:val="22"/>
                <w:lang w:eastAsia="cs-CZ"/>
              </w:rPr>
            </w:pPr>
            <w:r>
              <w:rPr>
                <w:rFonts w:ascii="Verdana" w:hAnsi="Verdana" w:eastAsia="Times New Roman" w:cs="Calibri"/>
                <w:b/>
                <w:bCs/>
                <w:sz w:val="18"/>
                <w:szCs w:val="22"/>
                <w:lang w:eastAsia="cs-CZ"/>
              </w:rPr>
              <w:t xml:space="preserve">3. Aktivace a nitrifikace</w:t>
            </w:r>
            <w:r>
              <w:rPr>
                <w:rFonts w:ascii="Verdana" w:hAnsi="Verdana" w:eastAsia="Times New Roman" w:cs="Calibri"/>
                <w:b/>
                <w:bCs/>
                <w:sz w:val="18"/>
                <w:szCs w:val="22"/>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b/>
                <w:bCs/>
                <w:sz w:val="18"/>
                <w:szCs w:val="20"/>
                <w:lang w:eastAsia="cs-CZ"/>
              </w:rPr>
            </w:pPr>
            <w:r>
              <w:rPr>
                <w:rFonts w:ascii="Calibri" w:hAnsi="Calibri" w:eastAsia="Times New Roman" w:cs="Calibri"/>
                <w:b/>
                <w:bCs/>
                <w:sz w:val="18"/>
                <w:szCs w:val="20"/>
                <w:lang w:eastAsia="cs-CZ"/>
              </w:rPr>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BSK</w:t>
            </w:r>
            <w:r>
              <w:rPr>
                <w:rFonts w:ascii="Calibri" w:hAnsi="Calibri" w:eastAsia="Times New Roman" w:cs="Calibri"/>
                <w:sz w:val="18"/>
                <w:szCs w:val="20"/>
                <w:vertAlign w:val="subscript"/>
                <w:lang w:eastAsia="cs-CZ"/>
              </w:rPr>
              <w:t xml:space="preserve">5</w:t>
            </w:r>
            <w:r>
              <w:rPr>
                <w:rFonts w:ascii="Calibri" w:hAnsi="Calibri" w:eastAsia="Times New Roman" w:cs="Calibri"/>
                <w:sz w:val="18"/>
                <w:szCs w:val="20"/>
                <w:lang w:eastAsia="cs-CZ"/>
              </w:rPr>
              <w:t xml:space="preserve"> zatížení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Koncentrace BSK</w:t>
            </w:r>
            <w:r>
              <w:rPr>
                <w:rFonts w:ascii="Calibri" w:hAnsi="Calibri" w:eastAsia="Times New Roman" w:cs="Calibri"/>
                <w:sz w:val="18"/>
                <w:szCs w:val="20"/>
                <w:vertAlign w:val="subscript"/>
                <w:lang w:eastAsia="cs-CZ"/>
              </w:rPr>
              <w:t xml:space="preserve">5</w:t>
            </w:r>
            <w:r>
              <w:rPr>
                <w:rFonts w:ascii="Calibri" w:hAnsi="Calibri" w:eastAsia="Times New Roman" w:cs="Calibri"/>
                <w:sz w:val="18"/>
                <w:szCs w:val="20"/>
                <w:lang w:eastAsia="cs-CZ"/>
              </w:rPr>
              <w:t xml:space="preserve"> na nátoku do reaktoru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439,6</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Látkové zatížení kalu </w:t>
            </w:r>
            <w:r>
              <w:rPr>
                <w:rFonts w:ascii="Calibri" w:hAnsi="Calibri" w:eastAsia="Times New Roman" w:cs="Calibri"/>
                <w:sz w:val="18"/>
                <w:szCs w:val="20"/>
                <w:lang w:eastAsia="cs-CZ"/>
              </w:rPr>
              <w:t xml:space="preserve">Bx</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0,08</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BSK/kg </w:t>
            </w:r>
            <w:r>
              <w:rPr>
                <w:rFonts w:ascii="Calibri" w:hAnsi="Calibri" w:eastAsia="Times New Roman" w:cs="Calibri"/>
                <w:sz w:val="18"/>
                <w:szCs w:val="20"/>
                <w:lang w:eastAsia="cs-CZ"/>
              </w:rPr>
              <w:t xml:space="preserve">sušiny∙d</w:t>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Množství kalu v systému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1875,0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 sušiny</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5"/>
            <w:shd w:val="clear" w:color="auto" w:fill="auto"/>
            <w:tcBorders>
              <w:top w:val="none" w:color="000000" w:sz="4" w:space="0"/>
              <w:left w:val="none" w:color="000000" w:sz="4" w:space="0"/>
              <w:bottom w:val="none" w:color="000000" w:sz="4" w:space="0"/>
              <w:right w:val="none" w:color="000000" w:sz="4" w:space="0"/>
            </w:tcBorders>
            <w:tcW w:w="520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Koncentrace sušiny aktivovaného kalu v reaktoru X</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Objem aktivační nádrže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535,7</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Objem denitrifikační nádrže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214,3</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Celkový objem biologického reaktoru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750,0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Doba zdržení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52,7</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dmax</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37,7</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návrh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17,9</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Požadovaná koncentrace na odtoku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BSK</w:t>
            </w:r>
            <w:r>
              <w:rPr>
                <w:rFonts w:ascii="Calibri" w:hAnsi="Calibri" w:eastAsia="Times New Roman" w:cs="Calibri"/>
                <w:sz w:val="18"/>
                <w:szCs w:val="20"/>
                <w:vertAlign w:val="subscript"/>
                <w:lang w:eastAsia="cs-CZ"/>
              </w:rPr>
              <w:t xml:space="preserve">5</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předpokládaný obsah BSK</w:t>
            </w:r>
            <w:r>
              <w:rPr>
                <w:rFonts w:ascii="Calibri" w:hAnsi="Calibri" w:eastAsia="Times New Roman" w:cs="Calibri"/>
                <w:sz w:val="18"/>
                <w:szCs w:val="20"/>
                <w:vertAlign w:val="subscript"/>
                <w:lang w:eastAsia="cs-CZ"/>
              </w:rPr>
              <w:t xml:space="preserve">5</w:t>
            </w:r>
            <w:r>
              <w:rPr>
                <w:rFonts w:ascii="Calibri" w:hAnsi="Calibri" w:eastAsia="Times New Roman" w:cs="Calibri"/>
                <w:sz w:val="18"/>
                <w:szCs w:val="20"/>
                <w:lang w:eastAsia="cs-CZ"/>
              </w:rPr>
              <w:t xml:space="preserve"> v NL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0,25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mg/mg</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Celková účinnost 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95,45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Biologická účinnost </w:t>
            </w:r>
            <w:r>
              <w:rPr>
                <w:rFonts w:ascii="Calibri" w:hAnsi="Calibri" w:eastAsia="Times New Roman" w:cs="Calibri"/>
                <w:sz w:val="18"/>
                <w:szCs w:val="20"/>
                <w:lang w:eastAsia="cs-CZ"/>
              </w:rPr>
              <w:t xml:space="preserve">E</w:t>
            </w:r>
            <w:r>
              <w:rPr>
                <w:rFonts w:ascii="Calibri" w:hAnsi="Calibri" w:eastAsia="Times New Roman" w:cs="Calibri"/>
                <w:sz w:val="18"/>
                <w:szCs w:val="20"/>
                <w:vertAlign w:val="subscript"/>
                <w:lang w:eastAsia="cs-CZ"/>
              </w:rPr>
              <w:t xml:space="preserve">biol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96,59</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Produkce přebytečného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96,11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kd</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Stáří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19,5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Minimální teplota</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8</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Doporučené minimální stáří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16,9</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Kalový index</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150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ml/g</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000000" w:fill="dce6f1"/>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Bilance dusíku</w:t>
            </w:r>
            <w:r>
              <w:rPr>
                <w:rFonts w:ascii="Calibri" w:hAnsi="Calibri" w:eastAsia="Times New Roman" w:cs="Calibri"/>
                <w:b/>
                <w:bCs/>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N-zatížení v surové odpadní vodě (B</w:t>
            </w:r>
            <w:r>
              <w:rPr>
                <w:rFonts w:ascii="Calibri" w:hAnsi="Calibri" w:eastAsia="Times New Roman" w:cs="Calibri"/>
                <w:sz w:val="18"/>
                <w:szCs w:val="20"/>
                <w:vertAlign w:val="subscript"/>
                <w:lang w:eastAsia="cs-CZ"/>
              </w:rPr>
              <w:t xml:space="preserve">N</w:t>
            </w: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N/d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N-koncentrace v přebytečném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N-zatížení v přebytečném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5,766</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N/d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Zatížení nitrifikovaným dusíkem B</w:t>
            </w:r>
            <w:r>
              <w:rPr>
                <w:rFonts w:ascii="Calibri" w:hAnsi="Calibri" w:eastAsia="Times New Roman" w:cs="Calibri"/>
                <w:sz w:val="18"/>
                <w:szCs w:val="20"/>
                <w:vertAlign w:val="subscript"/>
                <w:lang w:eastAsia="cs-CZ"/>
              </w:rPr>
              <w:t xml:space="preserve">NOX</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18,234</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N/d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000000" w:fill="dce6f1"/>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Nitrifikační kinetika</w:t>
            </w:r>
            <w:r>
              <w:rPr>
                <w:rFonts w:ascii="Calibri" w:hAnsi="Calibri" w:eastAsia="Times New Roman" w:cs="Calibri"/>
                <w:b/>
                <w:bCs/>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Podíl organické sušiny (OS)</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Nitrifikační zatížení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0,4</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bottom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 N-NH4/</w:t>
            </w:r>
            <w:r>
              <w:rPr>
                <w:rFonts w:ascii="Calibri" w:hAnsi="Calibri" w:eastAsia="Times New Roman" w:cs="Calibri"/>
                <w:sz w:val="18"/>
                <w:szCs w:val="20"/>
                <w:lang w:eastAsia="cs-CZ"/>
              </w:rPr>
              <w:t xml:space="preserve">kg∙h</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single" w:color="auto"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0,7</w:t>
            </w:r>
            <w:r>
              <w:rPr>
                <w:rFonts w:ascii="Calibri" w:hAnsi="Calibri" w:eastAsia="Times New Roman" w:cs="Calibri"/>
                <w:b/>
                <w:bCs/>
                <w:sz w:val="18"/>
                <w:szCs w:val="20"/>
                <w:lang w:eastAsia="cs-CZ"/>
              </w:rPr>
            </w:r>
          </w:p>
        </w:tc>
        <w:tc>
          <w:tcPr>
            <w:gridSpan w:val="3"/>
            <w:shd w:val="clear" w:color="auto" w:fill="auto"/>
            <w:tcBorders>
              <w:top w:val="none" w:color="000000" w:sz="4" w:space="0"/>
              <w:left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 N-NH4/kg </w:t>
            </w:r>
            <w:r>
              <w:rPr>
                <w:rFonts w:ascii="Calibri" w:hAnsi="Calibri" w:eastAsia="Times New Roman" w:cs="Calibri"/>
                <w:sz w:val="18"/>
                <w:szCs w:val="20"/>
                <w:lang w:eastAsia="cs-CZ"/>
              </w:rPr>
              <w:t xml:space="preserve">OS∙h</w:t>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ffffff" w:themeFill="background1"/>
            <w:tcBorders>
              <w:top w:val="none" w:color="000000" w:sz="4" w:space="0"/>
              <w:lef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ffffff" w:themeFill="background1"/>
            <w:tcBorders>
              <w:top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ffffff" w:themeFill="background1"/>
            <w:tcBorders>
              <w:top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ffffff" w:themeFill="background1"/>
            <w:tcBorders>
              <w:top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ffffff" w:themeFill="background1"/>
            <w:tcBorders>
              <w:top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ffffff" w:themeFill="background1"/>
            <w:tcBorders>
              <w:top w:val="single" w:color="auto"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ffffff" w:themeFill="background1"/>
            <w:tcBorders>
              <w:top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r>
            <w:r>
              <w:rPr>
                <w:rFonts w:ascii="Calibri" w:hAnsi="Calibri" w:eastAsia="Times New Roman" w:cs="Calibri"/>
                <w:b/>
                <w:bCs/>
                <w:sz w:val="18"/>
                <w:szCs w:val="20"/>
                <w:lang w:eastAsia="cs-CZ"/>
              </w:rPr>
            </w:r>
          </w:p>
        </w:tc>
        <w:tc>
          <w:tcPr>
            <w:gridSpan w:val="3"/>
            <w:shd w:val="clear" w:color="auto" w:fill="ffffff" w:themeFill="background1"/>
            <w:tcBorders>
              <w:top w:val="none" w:color="000000" w:sz="4" w:space="0"/>
              <w:right w:val="none" w:color="000000" w:sz="4" w:space="0"/>
            </w:tcBorders>
            <w:tcW w:w="173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000000" w:fill="dce6f1"/>
            <w:tcBorders>
              <w:top w:val="single" w:color="auto" w:sz="4" w:space="0"/>
              <w:left w:val="single" w:color="auto" w:sz="4" w:space="0"/>
              <w:bottom w:val="single" w:color="auto" w:sz="4" w:space="0"/>
              <w:right w:val="none" w:color="000000" w:sz="4" w:space="0"/>
            </w:tcBorders>
            <w:tcW w:w="3257" w:type="dxa"/>
            <w:vAlign w:val="bottom"/>
            <w:textDirection w:val="lrTb"/>
            <w:noWrap/>
          </w:tcPr>
          <w:p>
            <w:pPr>
              <w:pBdr/>
              <w:spacing/>
              <w:ind/>
              <w:rPr>
                <w:rFonts w:ascii="Verdana" w:hAnsi="Verdana" w:eastAsia="Times New Roman" w:cs="Calibri"/>
                <w:b/>
                <w:bCs/>
                <w:sz w:val="18"/>
                <w:szCs w:val="22"/>
                <w:lang w:eastAsia="cs-CZ"/>
              </w:rPr>
            </w:pPr>
            <w:r>
              <w:rPr>
                <w:rFonts w:ascii="Verdana" w:hAnsi="Verdana" w:eastAsia="Times New Roman" w:cs="Calibri"/>
                <w:b/>
                <w:bCs/>
                <w:sz w:val="18"/>
                <w:szCs w:val="22"/>
                <w:lang w:eastAsia="cs-CZ"/>
              </w:rPr>
              <w:t xml:space="preserve">4. Požadavky na kyslík</w:t>
            </w:r>
            <w:r>
              <w:rPr>
                <w:rFonts w:ascii="Verdana" w:hAnsi="Verdana" w:eastAsia="Times New Roman" w:cs="Calibri"/>
                <w:b/>
                <w:bCs/>
                <w:sz w:val="18"/>
                <w:szCs w:val="22"/>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single" w:color="auto"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6"/>
            <w:shd w:val="clear" w:color="auto" w:fill="auto"/>
            <w:tcBorders>
              <w:top w:val="none" w:color="000000" w:sz="4" w:space="0"/>
              <w:left w:val="none" w:color="000000" w:sz="4" w:space="0"/>
              <w:bottom w:val="none" w:color="000000" w:sz="4" w:space="0"/>
              <w:right w:val="none" w:color="000000" w:sz="4" w:space="0"/>
            </w:tcBorders>
            <w:tcW w:w="618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Respirace substrátu O</w:t>
            </w:r>
            <w:r>
              <w:rPr>
                <w:rFonts w:ascii="Calibri" w:hAnsi="Calibri" w:eastAsia="Times New Roman" w:cs="Calibri"/>
                <w:sz w:val="18"/>
                <w:szCs w:val="20"/>
                <w:vertAlign w:val="subscript"/>
                <w:lang w:eastAsia="cs-CZ"/>
              </w:rPr>
              <w:t xml:space="preserve">S</w:t>
            </w:r>
            <w:r>
              <w:rPr>
                <w:rFonts w:ascii="Calibri" w:hAnsi="Calibri" w:eastAsia="Times New Roman" w:cs="Calibri"/>
                <w:sz w:val="18"/>
                <w:szCs w:val="20"/>
                <w:lang w:eastAsia="cs-CZ"/>
              </w:rPr>
              <w:t xml:space="preserve"> (spotřeba kyslíku - aktivovaný kal)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72,44</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5"/>
            <w:shd w:val="clear" w:color="auto" w:fill="auto"/>
            <w:tcBorders>
              <w:top w:val="none" w:color="000000" w:sz="4" w:space="0"/>
              <w:left w:val="none" w:color="000000" w:sz="4" w:space="0"/>
              <w:bottom w:val="none" w:color="000000" w:sz="4" w:space="0"/>
              <w:right w:val="none" w:color="000000" w:sz="4" w:space="0"/>
            </w:tcBorders>
            <w:tcW w:w="520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Koeficient endogenní respirace </w:t>
            </w:r>
            <w:r>
              <w:rPr>
                <w:rFonts w:ascii="Calibri" w:hAnsi="Calibri" w:eastAsia="Times New Roman" w:cs="Calibri"/>
                <w:sz w:val="18"/>
                <w:szCs w:val="20"/>
                <w:lang w:eastAsia="cs-CZ"/>
              </w:rPr>
              <w:t xml:space="preserve">k</w:t>
            </w:r>
            <w:r>
              <w:rPr>
                <w:rFonts w:ascii="Calibri" w:hAnsi="Calibri" w:eastAsia="Times New Roman" w:cs="Calibri"/>
                <w:sz w:val="18"/>
                <w:szCs w:val="20"/>
                <w:vertAlign w:val="subscript"/>
                <w:lang w:eastAsia="cs-CZ"/>
              </w:rPr>
              <w:t xml:space="preserve">re</w:t>
            </w: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t xml:space="preserve">B</w:t>
            </w:r>
            <w:r>
              <w:rPr>
                <w:rFonts w:ascii="Calibri" w:hAnsi="Calibri" w:eastAsia="Times New Roman" w:cs="Calibri"/>
                <w:sz w:val="18"/>
                <w:szCs w:val="20"/>
                <w:vertAlign w:val="subscript"/>
                <w:lang w:eastAsia="cs-CZ"/>
              </w:rPr>
              <w:t xml:space="preserve">x</w:t>
            </w:r>
            <w:r>
              <w:rPr>
                <w:rFonts w:ascii="Calibri" w:hAnsi="Calibri" w:eastAsia="Times New Roman" w:cs="Calibri"/>
                <w:sz w:val="18"/>
                <w:szCs w:val="20"/>
                <w:lang w:eastAsia="cs-CZ"/>
              </w:rPr>
              <w:t xml:space="preserve"> &gt; 0,15 = 0,11)</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0,11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Endogenní respirace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206,25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Nitrifikace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63,82</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Celková spotřeba kyslíku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342,51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Hodinová spotřeba kyslíku </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w:t>
            </w:r>
            <w:r>
              <w:rPr>
                <w:rFonts w:ascii="Calibri" w:hAnsi="Calibri" w:eastAsia="Times New Roman" w:cs="Calibri"/>
                <w:sz w:val="18"/>
                <w:szCs w:val="20"/>
                <w:vertAlign w:val="subscript"/>
                <w:lang w:eastAsia="cs-CZ"/>
              </w:rPr>
              <w:t xml:space="preserve">sh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single" w:color="auto"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17,11</w:t>
            </w:r>
            <w:r>
              <w:rPr>
                <w:rFonts w:ascii="Calibri" w:hAnsi="Calibri" w:eastAsia="Times New Roman" w:cs="Calibri"/>
                <w:b/>
                <w:bCs/>
                <w:sz w:val="18"/>
                <w:szCs w:val="20"/>
                <w:lang w:eastAsia="cs-CZ"/>
              </w:rPr>
            </w:r>
          </w:p>
        </w:tc>
        <w:tc>
          <w:tcPr>
            <w:gridSpan w:val="2"/>
            <w:shd w:val="clear" w:color="auto" w:fill="auto"/>
            <w:tcBorders>
              <w:top w:val="none" w:color="000000" w:sz="4" w:space="0"/>
              <w:left w:val="single" w:color="auto"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koeficient využití kyslíku </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α</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0,8</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Saturační koncentrace kyslíku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11,3</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Průměrná koncentrace kyslíku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9,2</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Zbytková koncentrace kyslíku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mg/l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(D10/</w:t>
            </w:r>
            <w:r>
              <w:rPr>
                <w:rFonts w:ascii="Calibri" w:hAnsi="Calibri" w:eastAsia="Times New Roman" w:cs="Calibri"/>
                <w:sz w:val="18"/>
                <w:szCs w:val="20"/>
                <w:lang w:eastAsia="cs-CZ"/>
              </w:rPr>
              <w:t xml:space="preserve">Dt</w:t>
            </w:r>
            <w:r>
              <w:rPr>
                <w:rFonts w:ascii="Calibri" w:hAnsi="Calibri" w:eastAsia="Times New Roman" w:cs="Calibri"/>
                <w:sz w:val="18"/>
                <w:szCs w:val="20"/>
                <w:lang w:eastAsia="cs-CZ"/>
              </w:rPr>
              <w:t xml:space="preserve">)</w:t>
            </w:r>
            <w:r>
              <w:rPr>
                <w:rFonts w:ascii="Calibri" w:hAnsi="Calibri" w:eastAsia="Times New Roman" w:cs="Calibri"/>
                <w:sz w:val="18"/>
                <w:szCs w:val="20"/>
                <w:vertAlign w:val="superscript"/>
                <w:lang w:eastAsia="cs-CZ"/>
              </w:rPr>
              <w:t xml:space="preserve">0,5</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0,861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Denní </w:t>
            </w:r>
            <w:r>
              <w:rPr>
                <w:rFonts w:ascii="Calibri" w:hAnsi="Calibri" w:eastAsia="Times New Roman" w:cs="Calibri"/>
                <w:sz w:val="18"/>
                <w:szCs w:val="20"/>
                <w:lang w:eastAsia="cs-CZ"/>
              </w:rPr>
              <w:t xml:space="preserve">oxygenační</w:t>
            </w:r>
            <w:r>
              <w:rPr>
                <w:rFonts w:ascii="Calibri" w:hAnsi="Calibri" w:eastAsia="Times New Roman" w:cs="Calibri"/>
                <w:sz w:val="18"/>
                <w:szCs w:val="20"/>
                <w:lang w:eastAsia="cs-CZ"/>
              </w:rPr>
              <w:t xml:space="preserve"> kapacita</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OC</w:t>
            </w:r>
            <w:r>
              <w:rPr>
                <w:rFonts w:ascii="Calibri" w:hAnsi="Calibri" w:eastAsia="Times New Roman" w:cs="Calibri"/>
                <w:sz w:val="18"/>
                <w:szCs w:val="20"/>
                <w:vertAlign w:val="subscript"/>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540,97</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Hodinová </w:t>
            </w:r>
            <w:r>
              <w:rPr>
                <w:rFonts w:ascii="Calibri" w:hAnsi="Calibri" w:eastAsia="Times New Roman" w:cs="Calibri"/>
                <w:sz w:val="18"/>
                <w:szCs w:val="20"/>
                <w:lang w:eastAsia="cs-CZ"/>
              </w:rPr>
              <w:t xml:space="preserve">oxygenační</w:t>
            </w:r>
            <w:r>
              <w:rPr>
                <w:rFonts w:ascii="Calibri" w:hAnsi="Calibri" w:eastAsia="Times New Roman" w:cs="Calibri"/>
                <w:sz w:val="18"/>
                <w:szCs w:val="20"/>
                <w:lang w:eastAsia="cs-CZ"/>
              </w:rPr>
              <w:t xml:space="preserve"> kapacita</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OC</w:t>
            </w:r>
            <w:r>
              <w:rPr>
                <w:rFonts w:ascii="Calibri" w:hAnsi="Calibri" w:eastAsia="Times New Roman" w:cs="Calibri"/>
                <w:sz w:val="18"/>
                <w:szCs w:val="20"/>
                <w:vertAlign w:val="subscript"/>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27,02</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w:t>
            </w:r>
            <w:r>
              <w:rPr>
                <w:rFonts w:ascii="Calibri" w:hAnsi="Calibri" w:eastAsia="Times New Roman" w:cs="Calibri"/>
                <w:sz w:val="18"/>
                <w:szCs w:val="20"/>
                <w:vertAlign w:val="subscript"/>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Hodinová </w:t>
            </w:r>
            <w:r>
              <w:rPr>
                <w:rFonts w:ascii="Calibri" w:hAnsi="Calibri" w:eastAsia="Times New Roman" w:cs="Calibri"/>
                <w:sz w:val="18"/>
                <w:szCs w:val="20"/>
                <w:lang w:eastAsia="cs-CZ"/>
              </w:rPr>
              <w:t xml:space="preserve">oxygenační</w:t>
            </w:r>
            <w:r>
              <w:rPr>
                <w:rFonts w:ascii="Calibri" w:hAnsi="Calibri" w:eastAsia="Times New Roman" w:cs="Calibri"/>
                <w:sz w:val="18"/>
                <w:szCs w:val="20"/>
                <w:lang w:eastAsia="cs-CZ"/>
              </w:rPr>
              <w:t xml:space="preserve"> kapacita průměrná </w:t>
            </w:r>
            <w:r>
              <w:rPr>
                <w:rFonts w:ascii="Calibri" w:hAnsi="Calibri" w:eastAsia="Times New Roman" w:cs="Calibri"/>
                <w:sz w:val="18"/>
                <w:szCs w:val="20"/>
                <w:lang w:eastAsia="cs-CZ"/>
              </w:rPr>
              <w:t xml:space="preserve">OC</w:t>
            </w:r>
            <w:r>
              <w:rPr>
                <w:rFonts w:ascii="Calibri" w:hAnsi="Calibri" w:eastAsia="Times New Roman" w:cs="Calibri"/>
                <w:sz w:val="18"/>
                <w:szCs w:val="20"/>
                <w:vertAlign w:val="subscript"/>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27,02</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O</w:t>
            </w:r>
            <w:r>
              <w:rPr>
                <w:rFonts w:ascii="Calibri" w:hAnsi="Calibri" w:eastAsia="Times New Roman" w:cs="Calibri"/>
                <w:sz w:val="18"/>
                <w:szCs w:val="20"/>
                <w:vertAlign w:val="sub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Hloubka uložení aeračních elementů</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5,4</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Přenos kyslíku na m hloubky</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g/m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Požadované množství vzduchu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500,4</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m3/h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Míchací efekt</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0,9</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5"/>
            <w:shd w:val="clear" w:color="auto" w:fill="auto"/>
            <w:tcBorders>
              <w:top w:val="none" w:color="000000" w:sz="4" w:space="0"/>
              <w:left w:val="none" w:color="000000" w:sz="4" w:space="0"/>
              <w:bottom w:val="none" w:color="000000" w:sz="4" w:space="0"/>
              <w:right w:val="none" w:color="000000" w:sz="4" w:space="0"/>
            </w:tcBorders>
            <w:tcW w:w="520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Optimální množství vzduchu na 1 m aeračních elementů</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5"/>
            <w:shd w:val="clear" w:color="auto" w:fill="auto"/>
            <w:tcBorders>
              <w:top w:val="none" w:color="000000" w:sz="4" w:space="0"/>
              <w:left w:val="none" w:color="000000" w:sz="4" w:space="0"/>
              <w:bottom w:val="none" w:color="000000" w:sz="4" w:space="0"/>
              <w:right w:val="none" w:color="000000" w:sz="4" w:space="0"/>
            </w:tcBorders>
            <w:tcW w:w="520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Celková délka hadicových aeračních elementů</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125,1</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70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Výkon dmychadel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600,5</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Počet pracovních dmychadel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Výkon 1 pracovního dmychadla</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300,3</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478"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701"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5,00</w:t>
            </w:r>
            <w:r>
              <w:rPr>
                <w:rFonts w:ascii="Calibri" w:hAnsi="Calibri" w:eastAsia="Times New Roman" w:cs="Calibri"/>
                <w:b/>
                <w:bCs/>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4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/min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000000" w:fill="dce6f1"/>
            <w:tcBorders>
              <w:top w:val="single" w:color="auto" w:sz="4" w:space="0"/>
              <w:left w:val="single" w:color="auto" w:sz="4" w:space="0"/>
              <w:bottom w:val="single" w:color="auto" w:sz="4" w:space="0"/>
              <w:right w:val="none" w:color="000000" w:sz="4" w:space="0"/>
            </w:tcBorders>
            <w:tcW w:w="3257" w:type="dxa"/>
            <w:vAlign w:val="bottom"/>
            <w:textDirection w:val="lrTb"/>
            <w:noWrap/>
          </w:tcPr>
          <w:p>
            <w:pPr>
              <w:pBdr/>
              <w:spacing/>
              <w:ind/>
              <w:rPr>
                <w:rFonts w:ascii="Verdana" w:hAnsi="Verdana" w:eastAsia="Times New Roman" w:cs="Calibri"/>
                <w:b/>
                <w:bCs/>
                <w:sz w:val="18"/>
                <w:szCs w:val="22"/>
                <w:lang w:eastAsia="cs-CZ"/>
              </w:rPr>
            </w:pPr>
            <w:r>
              <w:rPr>
                <w:rFonts w:ascii="Verdana" w:hAnsi="Verdana" w:eastAsia="Times New Roman" w:cs="Calibri"/>
                <w:b/>
                <w:bCs/>
                <w:sz w:val="18"/>
                <w:szCs w:val="22"/>
                <w:lang w:eastAsia="cs-CZ"/>
              </w:rPr>
              <w:t xml:space="preserve">5. Dosazovací nádrže</w:t>
            </w:r>
            <w:r>
              <w:rPr>
                <w:rFonts w:ascii="Verdana" w:hAnsi="Verdana" w:eastAsia="Times New Roman" w:cs="Calibri"/>
                <w:b/>
                <w:bCs/>
                <w:sz w:val="18"/>
                <w:szCs w:val="22"/>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single" w:color="auto"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6"/>
            <w:shd w:val="clear" w:color="auto" w:fill="auto"/>
            <w:tcBorders>
              <w:top w:val="none" w:color="000000" w:sz="4" w:space="0"/>
              <w:left w:val="none" w:color="000000" w:sz="4" w:space="0"/>
              <w:bottom w:val="none" w:color="000000" w:sz="4" w:space="0"/>
              <w:right w:val="none" w:color="000000" w:sz="4" w:space="0"/>
            </w:tcBorders>
            <w:tcW w:w="618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Koncentrace sušiny aktivovaného kalu X v aktivační nádrži</w:t>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3,5</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Kalový index KI</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150</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ml / g</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Dovolené hydraulické zatížení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0,9</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Celková plocha separace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46,4</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Přibližný objem separace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80,0</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Počet dosazovacích nádrží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Průměr 1 dosazovací nádrže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5,4</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Hydraulické zatížení pro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návrh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0,9</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0,31</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min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0,18</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Látkové zatížení pro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návrh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3,15</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1,1</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min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0,6</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kg/m</w:t>
            </w:r>
            <w:r>
              <w:rPr>
                <w:rFonts w:ascii="Calibri" w:hAnsi="Calibri" w:eastAsia="Times New Roman" w:cs="Calibri"/>
                <w:sz w:val="18"/>
                <w:szCs w:val="20"/>
                <w:vertAlign w:val="superscript"/>
                <w:lang w:eastAsia="cs-CZ"/>
              </w:rPr>
              <w:t xml:space="preserve">2</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Účinnost dosazovací nádrže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0,7</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Doba zdržení pro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návrh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1,3</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3,9</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min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6,6</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Potřebná délka žlabu pro</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návrh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8,4</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24</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2,8</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Q</w:t>
            </w:r>
            <w:r>
              <w:rPr>
                <w:rFonts w:ascii="Calibri" w:hAnsi="Calibri" w:eastAsia="Times New Roman" w:cs="Calibri"/>
                <w:sz w:val="18"/>
                <w:szCs w:val="20"/>
                <w:vertAlign w:val="subscript"/>
                <w:lang w:eastAsia="cs-CZ"/>
              </w:rPr>
              <w:t xml:space="preserve">min</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1,7</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Recirkulační poměr</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150</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233"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Množství vratného kalu z dosazovací nádrže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62,7</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/h</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17,4</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l/s</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single" w:color="auto"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000000" w:fill="dce6f1"/>
            <w:tcBorders>
              <w:top w:val="single" w:color="auto" w:sz="4" w:space="0"/>
              <w:left w:val="single" w:color="auto" w:sz="4" w:space="0"/>
              <w:bottom w:val="single" w:color="auto" w:sz="4" w:space="0"/>
              <w:right w:val="none" w:color="000000" w:sz="4" w:space="0"/>
            </w:tcBorders>
            <w:tcW w:w="3257" w:type="dxa"/>
            <w:vAlign w:val="bottom"/>
            <w:textDirection w:val="lrTb"/>
            <w:noWrap/>
          </w:tcPr>
          <w:p>
            <w:pPr>
              <w:pBdr/>
              <w:spacing/>
              <w:ind/>
              <w:rPr>
                <w:rFonts w:ascii="Verdana" w:hAnsi="Verdana" w:eastAsia="Times New Roman" w:cs="Calibri"/>
                <w:b/>
                <w:bCs/>
                <w:sz w:val="18"/>
                <w:szCs w:val="22"/>
                <w:lang w:eastAsia="cs-CZ"/>
              </w:rPr>
            </w:pPr>
            <w:r>
              <w:rPr>
                <w:rFonts w:ascii="Verdana" w:hAnsi="Verdana" w:eastAsia="Times New Roman" w:cs="Calibri"/>
                <w:b/>
                <w:bCs/>
                <w:sz w:val="18"/>
                <w:szCs w:val="22"/>
                <w:lang w:eastAsia="cs-CZ"/>
              </w:rPr>
              <w:t xml:space="preserve">6. Množství kalu</w:t>
            </w:r>
            <w:r>
              <w:rPr>
                <w:rFonts w:ascii="Verdana" w:hAnsi="Verdana" w:eastAsia="Times New Roman" w:cs="Calibri"/>
                <w:b/>
                <w:bCs/>
                <w:sz w:val="18"/>
                <w:szCs w:val="22"/>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gridSpan w:val="2"/>
            <w:shd w:val="clear" w:color="000000" w:fill="dce6f1"/>
            <w:tcBorders>
              <w:top w:val="single" w:color="auto" w:sz="4" w:space="0"/>
              <w:left w:val="none" w:color="000000" w:sz="4" w:space="0"/>
              <w:bottom w:val="single" w:color="auto"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single" w:color="auto"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Přebytečný kal</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96,1</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 suš/d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Koncentrace přebytečného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4,5</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kg/m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Množství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21,4</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10"/>
            <w:shd w:val="clear" w:color="000000" w:fill="dce6f1"/>
            <w:tcBorders>
              <w:top w:val="single" w:color="auto" w:sz="4" w:space="0"/>
              <w:left w:val="single" w:color="auto" w:sz="4" w:space="0"/>
              <w:bottom w:val="single" w:color="auto" w:sz="4" w:space="0"/>
              <w:right w:val="none" w:color="000000" w:sz="4" w:space="0"/>
            </w:tcBorders>
            <w:tcW w:w="8864" w:type="dxa"/>
            <w:vAlign w:val="bottom"/>
            <w:textDirection w:val="lrTb"/>
            <w:noWrap/>
          </w:tcPr>
          <w:p>
            <w:pPr>
              <w:pBdr/>
              <w:spacing/>
              <w:ind/>
              <w:rPr>
                <w:rFonts w:ascii="Verdana" w:hAnsi="Verdana" w:eastAsia="Times New Roman" w:cs="Calibri"/>
                <w:b/>
                <w:bCs/>
                <w:sz w:val="18"/>
                <w:szCs w:val="22"/>
                <w:lang w:eastAsia="cs-CZ"/>
              </w:rPr>
            </w:pPr>
            <w:r>
              <w:rPr>
                <w:rFonts w:ascii="Verdana" w:hAnsi="Verdana" w:eastAsia="Times New Roman" w:cs="Calibri"/>
                <w:b/>
                <w:bCs/>
                <w:sz w:val="18"/>
                <w:szCs w:val="22"/>
                <w:lang w:eastAsia="cs-CZ"/>
              </w:rPr>
              <w:t xml:space="preserve">7. Zahušťovací </w:t>
            </w:r>
            <w:r>
              <w:rPr>
                <w:rFonts w:ascii="Verdana" w:hAnsi="Verdana" w:eastAsia="Times New Roman" w:cs="Calibri"/>
                <w:b/>
                <w:bCs/>
                <w:sz w:val="18"/>
                <w:szCs w:val="22"/>
                <w:lang w:eastAsia="cs-CZ"/>
              </w:rPr>
              <w:t xml:space="preserve">kalová </w:t>
            </w:r>
            <w:r>
              <w:rPr>
                <w:rFonts w:ascii="Verdana" w:hAnsi="Verdana" w:eastAsia="Times New Roman" w:cs="Calibri"/>
                <w:b/>
                <w:bCs/>
                <w:sz w:val="18"/>
                <w:szCs w:val="22"/>
                <w:lang w:eastAsia="cs-CZ"/>
              </w:rPr>
              <w:t xml:space="preserve">nádrž</w:t>
            </w:r>
            <w:r>
              <w:rPr>
                <w:rFonts w:ascii="Verdana" w:hAnsi="Verdana" w:eastAsia="Times New Roman" w:cs="Calibri"/>
                <w:b/>
                <w:bCs/>
                <w:sz w:val="18"/>
                <w:szCs w:val="22"/>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 </w:t>
            </w:r>
            <w:r>
              <w:rPr>
                <w:rFonts w:ascii="Calibri" w:hAnsi="Calibri" w:eastAsia="Times New Roman" w:cs="Calibri"/>
                <w:sz w:val="18"/>
                <w:szCs w:val="20"/>
                <w:lang w:eastAsia="cs-CZ"/>
              </w:rPr>
            </w:r>
          </w:p>
        </w:tc>
      </w:tr>
      <w:tr>
        <w:trPr>
          <w:trHeight w:val="20"/>
        </w:trPr>
        <w:tc>
          <w:tcPr>
            <w:shd w:val="clear" w:color="auto" w:fill="auto"/>
            <w:tcBorders>
              <w:top w:val="single" w:color="auto"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single" w:color="auto"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single" w:color="auto"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Předpokládané zahuštění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Množství kalu</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3,2</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t xml:space="preserve">/d</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2"/>
            <w:shd w:val="clear" w:color="auto" w:fill="auto"/>
            <w:tcBorders>
              <w:top w:val="none" w:color="000000" w:sz="4" w:space="0"/>
              <w:left w:val="none" w:color="000000" w:sz="4" w:space="0"/>
              <w:bottom w:val="none" w:color="000000" w:sz="4" w:space="0"/>
              <w:right w:val="none" w:color="000000" w:sz="4" w:space="0"/>
            </w:tcBorders>
            <w:tcW w:w="213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Doba uskladnění</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60</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dnů</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257"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Objem zahušťovací nádrže</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c>
          <w:tcPr>
            <w:gridSpan w:val="2"/>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sz w:val="18"/>
                <w:szCs w:val="20"/>
                <w:lang w:eastAsia="cs-CZ"/>
              </w:rPr>
            </w:pPr>
            <w:r>
              <w:rPr>
                <w:rFonts w:ascii="Calibri" w:hAnsi="Calibri" w:eastAsia="Times New Roman" w:cs="Calibri"/>
                <w:b/>
                <w:bCs/>
                <w:sz w:val="18"/>
                <w:szCs w:val="20"/>
                <w:lang w:eastAsia="cs-CZ"/>
              </w:rPr>
              <w:t xml:space="preserve">192,2</w:t>
            </w:r>
            <w:r>
              <w:rPr>
                <w:rFonts w:ascii="Calibri" w:hAnsi="Calibri" w:eastAsia="Times New Roman" w:cs="Calibri"/>
                <w:b/>
                <w:bCs/>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t xml:space="preserve">m</w:t>
            </w:r>
            <w:r>
              <w:rPr>
                <w:rFonts w:ascii="Calibri" w:hAnsi="Calibri" w:eastAsia="Times New Roman" w:cs="Calibri"/>
                <w:sz w:val="18"/>
                <w:szCs w:val="20"/>
                <w:vertAlign w:val="superscript"/>
                <w:lang w:eastAsia="cs-CZ"/>
              </w:rPr>
              <w:t xml:space="preserve">3</w:t>
            </w:r>
            <w:r>
              <w:rPr>
                <w:rFonts w:ascii="Calibri" w:hAnsi="Calibri" w:eastAsia="Times New Roman" w:cs="Calibri"/>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gridSpan w:val="2"/>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965"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r>
        <w:trPr>
          <w:trHeight w:val="20"/>
        </w:trPr>
        <w:tc>
          <w:tcPr>
            <w:shd w:val="clear" w:color="auto" w:fill="auto"/>
            <w:tcBorders>
              <w:top w:val="none" w:color="000000"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103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1121"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gridSpan w:val="2"/>
            <w:shd w:val="clear" w:color="auto" w:fill="auto"/>
            <w:tcBorders>
              <w:top w:val="none" w:color="000000"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gridSpan w:val="2"/>
            <w:shd w:val="clear" w:color="auto" w:fill="auto"/>
            <w:tcBorders>
              <w:top w:val="none" w:color="000000" w:sz="4" w:space="0"/>
              <w:left w:val="none" w:color="000000" w:sz="4" w:space="0"/>
              <w:bottom w:val="single" w:color="auto" w:sz="4" w:space="0"/>
              <w:right w:val="none" w:color="000000" w:sz="4" w:space="0"/>
            </w:tcBorders>
            <w:tcW w:w="1579"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965" w:type="dxa"/>
            <w:vAlign w:val="bottom"/>
            <w:textDirection w:val="lrTb"/>
            <w:noWrap/>
          </w:tcPr>
          <w:p>
            <w:pPr>
              <w:pBdr/>
              <w:spacing/>
              <w:ind/>
              <w:rPr>
                <w:rFonts w:ascii="Calibri" w:hAnsi="Calibri" w:eastAsia="Times New Roman" w:cs="Calibri"/>
                <w:color w:val="ff0000"/>
                <w:sz w:val="18"/>
                <w:szCs w:val="20"/>
                <w:lang w:eastAsia="cs-CZ"/>
              </w:rPr>
            </w:pPr>
            <w:r>
              <w:rPr>
                <w:rFonts w:ascii="Calibri" w:hAnsi="Calibri" w:eastAsia="Times New Roman" w:cs="Calibri"/>
                <w:color w:val="ff0000"/>
                <w:sz w:val="18"/>
                <w:szCs w:val="20"/>
                <w:lang w:eastAsia="cs-CZ"/>
              </w:rPr>
            </w:r>
            <w:r>
              <w:rPr>
                <w:rFonts w:ascii="Calibri" w:hAnsi="Calibri" w:eastAsia="Times New Roman" w:cs="Calibri"/>
                <w:color w:val="ff0000"/>
                <w:sz w:val="18"/>
                <w:szCs w:val="20"/>
                <w:lang w:eastAsia="cs-CZ"/>
              </w:rPr>
            </w:r>
          </w:p>
        </w:tc>
        <w:tc>
          <w:tcPr>
            <w:shd w:val="clear" w:color="auto" w:fill="auto"/>
            <w:tcBorders>
              <w:top w:val="none" w:color="000000" w:sz="4" w:space="0"/>
              <w:left w:val="none" w:color="000000" w:sz="4" w:space="0"/>
              <w:bottom w:val="single" w:color="auto" w:sz="4" w:space="0"/>
              <w:right w:val="none" w:color="000000" w:sz="4" w:space="0"/>
            </w:tcBorders>
            <w:tcW w:w="265" w:type="dxa"/>
            <w:vAlign w:val="bottom"/>
            <w:textDirection w:val="lrTb"/>
            <w:noWrap/>
          </w:tcPr>
          <w:p>
            <w:pPr>
              <w:pBdr/>
              <w:spacing/>
              <w:ind/>
              <w:rPr>
                <w:rFonts w:ascii="Calibri" w:hAnsi="Calibri" w:eastAsia="Times New Roman" w:cs="Calibri"/>
                <w:sz w:val="18"/>
                <w:szCs w:val="20"/>
                <w:lang w:eastAsia="cs-CZ"/>
              </w:rPr>
            </w:pPr>
            <w:r>
              <w:rPr>
                <w:rFonts w:ascii="Calibri" w:hAnsi="Calibri" w:eastAsia="Times New Roman" w:cs="Calibri"/>
                <w:sz w:val="18"/>
                <w:szCs w:val="20"/>
                <w:lang w:eastAsia="cs-CZ"/>
              </w:rPr>
            </w:r>
            <w:r>
              <w:rPr>
                <w:rFonts w:ascii="Calibri" w:hAnsi="Calibri" w:eastAsia="Times New Roman" w:cs="Calibri"/>
                <w:sz w:val="18"/>
                <w:szCs w:val="20"/>
                <w:lang w:eastAsia="cs-CZ"/>
              </w:rPr>
            </w:r>
          </w:p>
        </w:tc>
      </w:tr>
    </w:tbl>
    <w:p>
      <w:pPr>
        <w:pStyle w:val="825"/>
        <w:pBdr/>
        <w:spacing/>
        <w:ind w:firstLine="0" w:left="0"/>
        <w:rPr>
          <w:sz w:val="22"/>
          <w:u w:val="single"/>
        </w:rPr>
      </w:pPr>
      <w:r>
        <w:rPr>
          <w:sz w:val="22"/>
          <w:u w:val="single"/>
        </w:rPr>
      </w:r>
      <w:r>
        <w:rPr>
          <w:sz w:val="22"/>
          <w:u w:val="single"/>
        </w:rPr>
      </w:r>
    </w:p>
    <w:tbl>
      <w:tblPr>
        <w:tblInd w:w="70" w:type="dxa"/>
        <w:tblW w:w="10330" w:type="dxa"/>
        <w:tblCellMar>
          <w:left w:w="70" w:type="dxa"/>
          <w:right w:w="70" w:type="dxa"/>
        </w:tblCellMar>
        <w:tblBorders/>
        <w:tblLook w:val="04A0" w:firstRow="1" w:lastRow="0" w:firstColumn="1" w:lastColumn="0" w:noHBand="0" w:noVBand="1"/>
      </w:tblPr>
      <w:tblGrid>
        <w:gridCol w:w="1365"/>
        <w:gridCol w:w="1036"/>
        <w:gridCol w:w="1121"/>
        <w:gridCol w:w="976"/>
        <w:gridCol w:w="976"/>
        <w:gridCol w:w="976"/>
        <w:gridCol w:w="1100"/>
        <w:gridCol w:w="1579"/>
        <w:gridCol w:w="936"/>
        <w:gridCol w:w="265"/>
      </w:tblGrid>
      <w:tr>
        <w:trPr>
          <w:trHeight w:val="20"/>
        </w:trPr>
        <w:tc>
          <w:tcPr>
            <w:gridSpan w:val="5"/>
            <w:shd w:val="clear" w:color="000000" w:fill="dce6f1"/>
            <w:tcBorders>
              <w:top w:val="single" w:color="auto" w:sz="4" w:space="0"/>
              <w:left w:val="single" w:color="auto" w:sz="4" w:space="0"/>
              <w:bottom w:val="single" w:color="auto" w:sz="4" w:space="0"/>
              <w:right w:val="none" w:color="000000" w:sz="4" w:space="0"/>
            </w:tcBorders>
            <w:tcW w:w="5474" w:type="dxa"/>
            <w:vAlign w:val="bottom"/>
            <w:textDirection w:val="lrTb"/>
            <w:noWrap/>
          </w:tcPr>
          <w:p>
            <w:pPr>
              <w:pBdr/>
              <w:spacing/>
              <w:ind/>
              <w:rPr>
                <w:rFonts w:ascii="Verdana" w:hAnsi="Verdana" w:eastAsia="Times New Roman" w:cs="Calibri"/>
                <w:b/>
                <w:bCs/>
                <w:szCs w:val="24"/>
                <w:lang w:eastAsia="cs-CZ"/>
              </w:rPr>
            </w:pPr>
            <w:r>
              <w:rPr>
                <w:rFonts w:ascii="Verdana" w:hAnsi="Verdana" w:eastAsia="Times New Roman" w:cs="Calibri"/>
                <w:b/>
                <w:bCs/>
                <w:szCs w:val="24"/>
                <w:lang w:eastAsia="cs-CZ"/>
              </w:rPr>
              <w:t xml:space="preserve">8. </w:t>
            </w:r>
            <w:r>
              <w:rPr>
                <w:rFonts w:ascii="Verdana" w:hAnsi="Verdana" w:eastAsia="Times New Roman" w:cs="Calibri"/>
                <w:b/>
                <w:bCs/>
                <w:szCs w:val="24"/>
                <w:lang w:eastAsia="cs-CZ"/>
              </w:rPr>
              <w:t xml:space="preserve">Odtok z </w:t>
            </w:r>
            <w:r>
              <w:rPr>
                <w:rFonts w:ascii="Verdana" w:hAnsi="Verdana" w:eastAsia="Times New Roman" w:cs="Calibri"/>
                <w:b/>
                <w:bCs/>
                <w:szCs w:val="24"/>
                <w:lang w:eastAsia="cs-CZ"/>
              </w:rPr>
              <w:t xml:space="preserve">ČOV </w:t>
            </w:r>
            <w:r>
              <w:rPr>
                <w:rFonts w:ascii="Verdana" w:hAnsi="Verdana" w:eastAsia="Times New Roman" w:cs="Calibri"/>
                <w:b/>
                <w:bCs/>
                <w:szCs w:val="24"/>
                <w:lang w:eastAsia="cs-CZ"/>
              </w:rPr>
              <w:t xml:space="preserve"> - trvalý provoz</w:t>
            </w:r>
            <w:r>
              <w:rPr>
                <w:rFonts w:ascii="Verdana" w:hAnsi="Verdana" w:eastAsia="Times New Roman" w:cs="Calibri"/>
                <w:b/>
                <w:bCs/>
                <w:szCs w:val="24"/>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 </w:t>
            </w:r>
            <w:r>
              <w:rPr>
                <w:rFonts w:ascii="Calibri" w:hAnsi="Calibri" w:eastAsia="Times New Roman" w:cs="Calibri"/>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 </w:t>
            </w:r>
            <w:r>
              <w:rPr>
                <w:rFonts w:ascii="Calibri" w:hAnsi="Calibri" w:eastAsia="Times New Roman" w:cs="Calibri"/>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1579"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 </w:t>
            </w:r>
            <w:r>
              <w:rPr>
                <w:rFonts w:ascii="Calibri" w:hAnsi="Calibri" w:eastAsia="Times New Roman" w:cs="Calibri"/>
                <w:lang w:eastAsia="cs-CZ"/>
              </w:rPr>
            </w:r>
          </w:p>
        </w:tc>
        <w:tc>
          <w:tcPr>
            <w:shd w:val="clear" w:color="000000" w:fill="dce6f1"/>
            <w:tcBorders>
              <w:top w:val="single" w:color="auto" w:sz="4" w:space="0"/>
              <w:left w:val="none" w:color="000000" w:sz="4" w:space="0"/>
              <w:bottom w:val="single" w:color="auto"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 </w:t>
            </w:r>
            <w:r>
              <w:rPr>
                <w:rFonts w:ascii="Calibri" w:hAnsi="Calibri" w:eastAsia="Times New Roman" w:cs="Calibri"/>
                <w:lang w:eastAsia="cs-CZ"/>
              </w:rPr>
            </w:r>
          </w:p>
        </w:tc>
        <w:tc>
          <w:tcPr>
            <w:shd w:val="clear" w:color="000000" w:fill="dce6f1"/>
            <w:tcBorders>
              <w:top w:val="single" w:color="auto" w:sz="4" w:space="0"/>
              <w:left w:val="none" w:color="000000" w:sz="4" w:space="0"/>
              <w:bottom w:val="single" w:color="auto" w:sz="4" w:space="0"/>
              <w:right w:val="single" w:color="auto"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 </w:t>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Q</w:t>
            </w:r>
            <w:r>
              <w:rPr>
                <w:rFonts w:ascii="Calibri" w:hAnsi="Calibri" w:eastAsia="Times New Roman" w:cs="Calibri"/>
                <w:vertAlign w:val="subscript"/>
                <w:lang w:eastAsia="cs-CZ"/>
              </w:rPr>
              <w:t xml:space="preserve">24</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341,25</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w:t>
            </w:r>
            <w:r>
              <w:rPr>
                <w:rFonts w:ascii="Calibri" w:hAnsi="Calibri" w:eastAsia="Times New Roman" w:cs="Calibri"/>
                <w:vertAlign w:val="superscript"/>
                <w:lang w:eastAsia="cs-CZ"/>
              </w:rPr>
              <w:t xml:space="preserve">3</w:t>
            </w:r>
            <w:r>
              <w:rPr>
                <w:rFonts w:ascii="Calibri" w:hAnsi="Calibri" w:eastAsia="Times New Roman" w:cs="Calibri"/>
                <w:lang w:eastAsia="cs-CZ"/>
              </w:rPr>
              <w:t xml:space="preserve">/d</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3,949</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l/s</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498"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Koncentrace BSK</w:t>
            </w:r>
            <w:r>
              <w:rPr>
                <w:rFonts w:ascii="Calibri" w:hAnsi="Calibri" w:eastAsia="Times New Roman" w:cs="Calibri"/>
                <w:vertAlign w:val="subscript"/>
                <w:lang w:eastAsia="cs-CZ"/>
              </w:rPr>
              <w:t xml:space="preserve">5</w:t>
            </w:r>
            <w:r>
              <w:rPr>
                <w:rFonts w:ascii="Calibri" w:hAnsi="Calibri" w:eastAsia="Times New Roman" w:cs="Calibri"/>
                <w:lang w:eastAsia="cs-CZ"/>
              </w:rPr>
              <w:t xml:space="preserve"> na odtoku z ČOV</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20</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mg/l</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7</w:t>
            </w:r>
            <w:r>
              <w:rPr>
                <w:rFonts w:ascii="Calibri" w:hAnsi="Calibri" w:eastAsia="Times New Roman" w:cs="Calibri"/>
                <w:b/>
                <w:bCs/>
                <w:lang w:eastAsia="cs-CZ"/>
              </w:rPr>
              <w:t xml:space="preserve">8</w:t>
            </w:r>
            <w:r>
              <w:rPr>
                <w:rFonts w:ascii="Calibri" w:hAnsi="Calibri" w:eastAsia="Times New Roman" w:cs="Calibri"/>
                <w:b/>
                <w:bCs/>
                <w:lang w:eastAsia="cs-CZ"/>
              </w:rPr>
              <w:t xml:space="preserve">,</w:t>
            </w:r>
            <w:r>
              <w:rPr>
                <w:rFonts w:ascii="Calibri" w:hAnsi="Calibri" w:eastAsia="Times New Roman" w:cs="Calibri"/>
                <w:b/>
                <w:bCs/>
                <w:lang w:eastAsia="cs-CZ"/>
              </w:rPr>
              <w:t xml:space="preserve">993</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mg/s</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6,</w:t>
            </w:r>
            <w:r>
              <w:rPr>
                <w:rFonts w:ascii="Calibri" w:hAnsi="Calibri" w:eastAsia="Times New Roman" w:cs="Calibri"/>
                <w:b/>
                <w:bCs/>
                <w:lang w:eastAsia="cs-CZ"/>
              </w:rPr>
              <w:t xml:space="preserve">825</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kg/d</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2,</w:t>
            </w:r>
            <w:r>
              <w:rPr>
                <w:rFonts w:ascii="Calibri" w:hAnsi="Calibri" w:eastAsia="Times New Roman" w:cs="Calibri"/>
                <w:b/>
                <w:bCs/>
                <w:lang w:eastAsia="cs-CZ"/>
              </w:rPr>
              <w:t xml:space="preserve">491</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t/rok</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498"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Koncentrace </w:t>
            </w:r>
            <w:r>
              <w:rPr>
                <w:rFonts w:ascii="Calibri" w:hAnsi="Calibri" w:eastAsia="Times New Roman" w:cs="Calibri"/>
                <w:lang w:eastAsia="cs-CZ"/>
              </w:rPr>
              <w:t xml:space="preserve">CHSK</w:t>
            </w:r>
            <w:r>
              <w:rPr>
                <w:rFonts w:ascii="Calibri" w:hAnsi="Calibri" w:eastAsia="Times New Roman" w:cs="Calibri"/>
                <w:vertAlign w:val="subscript"/>
                <w:lang w:eastAsia="cs-CZ"/>
              </w:rPr>
              <w:t xml:space="preserve">Cr</w:t>
            </w:r>
            <w:r>
              <w:rPr>
                <w:rFonts w:ascii="Calibri" w:hAnsi="Calibri" w:eastAsia="Times New Roman" w:cs="Calibri"/>
                <w:lang w:eastAsia="cs-CZ"/>
              </w:rPr>
              <w:t xml:space="preserve"> na odtoku z ČOV</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7</w:t>
            </w:r>
            <w:r>
              <w:rPr>
                <w:rFonts w:ascii="Calibri" w:hAnsi="Calibri" w:eastAsia="Times New Roman" w:cs="Calibri"/>
                <w:b/>
                <w:bCs/>
                <w:lang w:eastAsia="cs-CZ"/>
              </w:rPr>
              <w:t xml:space="preserve">5</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mg/l</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2</w:t>
            </w:r>
            <w:r>
              <w:rPr>
                <w:rFonts w:ascii="Calibri" w:hAnsi="Calibri" w:eastAsia="Times New Roman" w:cs="Calibri"/>
                <w:b/>
                <w:bCs/>
                <w:lang w:eastAsia="cs-CZ"/>
              </w:rPr>
              <w:t xml:space="preserve">96</w:t>
            </w:r>
            <w:r>
              <w:rPr>
                <w:rFonts w:ascii="Calibri" w:hAnsi="Calibri" w:eastAsia="Times New Roman" w:cs="Calibri"/>
                <w:b/>
                <w:bCs/>
                <w:lang w:eastAsia="cs-CZ"/>
              </w:rPr>
              <w:t xml:space="preserve">,</w:t>
            </w:r>
            <w:r>
              <w:rPr>
                <w:rFonts w:ascii="Calibri" w:hAnsi="Calibri" w:eastAsia="Times New Roman" w:cs="Calibri"/>
                <w:b/>
                <w:bCs/>
                <w:lang w:eastAsia="cs-CZ"/>
              </w:rPr>
              <w:t xml:space="preserve">223</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mg/s</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2</w:t>
            </w:r>
            <w:r>
              <w:rPr>
                <w:rFonts w:ascii="Calibri" w:hAnsi="Calibri" w:eastAsia="Times New Roman" w:cs="Calibri"/>
                <w:b/>
                <w:bCs/>
                <w:lang w:eastAsia="cs-CZ"/>
              </w:rPr>
              <w:t xml:space="preserve">5</w:t>
            </w:r>
            <w:r>
              <w:rPr>
                <w:rFonts w:ascii="Calibri" w:hAnsi="Calibri" w:eastAsia="Times New Roman" w:cs="Calibri"/>
                <w:b/>
                <w:bCs/>
                <w:lang w:eastAsia="cs-CZ"/>
              </w:rPr>
              <w:t xml:space="preserve">,</w:t>
            </w:r>
            <w:r>
              <w:rPr>
                <w:rFonts w:ascii="Calibri" w:hAnsi="Calibri" w:eastAsia="Times New Roman" w:cs="Calibri"/>
                <w:b/>
                <w:bCs/>
                <w:lang w:eastAsia="cs-CZ"/>
              </w:rPr>
              <w:t xml:space="preserve">593</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kg/d</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9,341</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t/rok</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gridSpan w:val="3"/>
            <w:shd w:val="clear" w:color="auto" w:fill="auto"/>
            <w:tcBorders>
              <w:top w:val="none" w:color="000000" w:sz="4" w:space="0"/>
              <w:left w:val="none" w:color="000000" w:sz="4" w:space="0"/>
              <w:bottom w:val="none" w:color="000000" w:sz="4" w:space="0"/>
              <w:right w:val="none" w:color="000000" w:sz="4" w:space="0"/>
            </w:tcBorders>
            <w:tcW w:w="3522"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Koncentrace NL na odtoku z ČOV</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20</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mg/l</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78,993</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mg/s</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6,8</w:t>
            </w:r>
            <w:r>
              <w:rPr>
                <w:rFonts w:ascii="Calibri" w:hAnsi="Calibri" w:eastAsia="Times New Roman" w:cs="Calibri"/>
                <w:b/>
                <w:bCs/>
                <w:lang w:eastAsia="cs-CZ"/>
              </w:rPr>
              <w:t xml:space="preserve">25</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kg/d</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2,491</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t/rok</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579"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gridSpan w:val="4"/>
            <w:shd w:val="clear" w:color="auto" w:fill="auto"/>
            <w:tcBorders>
              <w:top w:val="none" w:color="000000" w:sz="4" w:space="0"/>
              <w:left w:val="none" w:color="000000" w:sz="4" w:space="0"/>
              <w:bottom w:val="none" w:color="000000" w:sz="4" w:space="0"/>
              <w:right w:val="none" w:color="000000" w:sz="4" w:space="0"/>
            </w:tcBorders>
            <w:tcW w:w="4498"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Koncentrace N-NH</w:t>
            </w:r>
            <w:r>
              <w:rPr>
                <w:rFonts w:ascii="Calibri" w:hAnsi="Calibri" w:eastAsia="Times New Roman" w:cs="Calibri"/>
                <w:vertAlign w:val="subscript"/>
                <w:lang w:eastAsia="cs-CZ"/>
              </w:rPr>
              <w:t xml:space="preserve">4</w:t>
            </w:r>
            <w:r>
              <w:rPr>
                <w:rFonts w:ascii="Calibri" w:hAnsi="Calibri" w:eastAsia="Times New Roman" w:cs="Calibri"/>
                <w:lang w:eastAsia="cs-CZ"/>
              </w:rPr>
              <w:t xml:space="preserve"> na odtoku z ČOV</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12</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mg/l</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47</w:t>
            </w:r>
            <w:r>
              <w:rPr>
                <w:rFonts w:ascii="Calibri" w:hAnsi="Calibri" w:eastAsia="Times New Roman" w:cs="Calibri"/>
                <w:b/>
                <w:bCs/>
                <w:lang w:eastAsia="cs-CZ"/>
              </w:rPr>
              <w:t xml:space="preserve">,</w:t>
            </w:r>
            <w:r>
              <w:rPr>
                <w:rFonts w:ascii="Calibri" w:hAnsi="Calibri" w:eastAsia="Times New Roman" w:cs="Calibri"/>
                <w:b/>
                <w:bCs/>
                <w:lang w:eastAsia="cs-CZ"/>
              </w:rPr>
              <w:t xml:space="preserve">395</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mg/s</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4,095</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kg/d</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1,494</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t/rok</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gridSpan w:val="6"/>
            <w:shd w:val="clear" w:color="auto" w:fill="auto"/>
            <w:tcBorders>
              <w:top w:val="none" w:color="000000" w:sz="4" w:space="0"/>
              <w:left w:val="none" w:color="000000" w:sz="4" w:space="0"/>
              <w:bottom w:val="none" w:color="000000" w:sz="4" w:space="0"/>
              <w:right w:val="none" w:color="000000" w:sz="4" w:space="0"/>
            </w:tcBorders>
            <w:tcW w:w="645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Koncentrace P</w:t>
            </w:r>
            <w:r>
              <w:rPr>
                <w:rFonts w:ascii="Calibri" w:hAnsi="Calibri" w:eastAsia="Times New Roman" w:cs="Calibri"/>
                <w:vertAlign w:val="subscript"/>
                <w:lang w:eastAsia="cs-CZ"/>
              </w:rPr>
              <w:t xml:space="preserve">CELK </w:t>
            </w:r>
            <w:r>
              <w:rPr>
                <w:rFonts w:ascii="Calibri" w:hAnsi="Calibri" w:eastAsia="Times New Roman" w:cs="Calibri"/>
                <w:lang w:eastAsia="cs-CZ"/>
              </w:rPr>
              <w:t xml:space="preserve">na odtoku z</w:t>
            </w:r>
            <w:r>
              <w:rPr>
                <w:rFonts w:ascii="Calibri" w:hAnsi="Calibri" w:eastAsia="Times New Roman" w:cs="Calibri"/>
                <w:lang w:eastAsia="cs-CZ"/>
              </w:rPr>
              <w:t xml:space="preserve"> </w:t>
            </w:r>
            <w:r>
              <w:rPr>
                <w:rFonts w:ascii="Calibri" w:hAnsi="Calibri" w:eastAsia="Times New Roman" w:cs="Calibri"/>
                <w:lang w:eastAsia="cs-CZ"/>
              </w:rPr>
              <w:t xml:space="preserve">ČOV</w:t>
            </w:r>
            <w:r>
              <w:rPr>
                <w:rFonts w:ascii="Calibri" w:hAnsi="Calibri" w:eastAsia="Times New Roman" w:cs="Calibri"/>
                <w:lang w:eastAsia="cs-CZ"/>
              </w:rPr>
              <w:t xml:space="preserve"> (</w:t>
            </w:r>
            <w:r>
              <w:rPr>
                <w:rFonts w:ascii="Calibri" w:hAnsi="Calibri" w:eastAsia="Times New Roman" w:cs="Calibri"/>
                <w:lang w:eastAsia="cs-CZ"/>
              </w:rPr>
              <w:t xml:space="preserve">chem</w:t>
            </w:r>
            <w:r>
              <w:rPr>
                <w:rFonts w:ascii="Calibri" w:hAnsi="Calibri" w:eastAsia="Times New Roman" w:cs="Calibri"/>
                <w:lang w:eastAsia="cs-CZ"/>
              </w:rPr>
              <w:t xml:space="preserve">. srážením)</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single" w:color="auto"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2</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mg/l</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7,899</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mg/s</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0,</w:t>
            </w:r>
            <w:r>
              <w:rPr>
                <w:rFonts w:ascii="Calibri" w:hAnsi="Calibri" w:eastAsia="Times New Roman" w:cs="Calibri"/>
                <w:b/>
                <w:bCs/>
                <w:lang w:eastAsia="cs-CZ"/>
              </w:rPr>
              <w:t xml:space="preserve">7</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kg/d</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r>
        <w:trPr>
          <w:trHeight w:val="20"/>
        </w:trPr>
        <w:tc>
          <w:tcPr>
            <w:shd w:val="clear" w:color="auto" w:fill="auto"/>
            <w:tcBorders>
              <w:top w:val="none" w:color="000000" w:sz="4" w:space="0"/>
              <w:left w:val="none" w:color="000000" w:sz="4" w:space="0"/>
              <w:bottom w:val="none" w:color="000000" w:sz="4" w:space="0"/>
              <w:right w:val="none" w:color="000000" w:sz="4" w:space="0"/>
            </w:tcBorders>
            <w:tcW w:w="13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0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21"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97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1100"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c>
          <w:tcPr>
            <w:shd w:val="clear" w:color="000000" w:fill="dce6f1"/>
            <w:tcBorders>
              <w:top w:val="none" w:color="000000" w:sz="4" w:space="0"/>
              <w:left w:val="single" w:color="auto" w:sz="4" w:space="0"/>
              <w:bottom w:val="single" w:color="auto" w:sz="4" w:space="0"/>
              <w:right w:val="single" w:color="auto" w:sz="4" w:space="0"/>
            </w:tcBorders>
            <w:tcW w:w="1579" w:type="dxa"/>
            <w:vAlign w:val="bottom"/>
            <w:textDirection w:val="lrTb"/>
            <w:noWrap/>
          </w:tcPr>
          <w:p>
            <w:pPr>
              <w:pBdr/>
              <w:spacing/>
              <w:ind/>
              <w:jc w:val="right"/>
              <w:rPr>
                <w:rFonts w:ascii="Calibri" w:hAnsi="Calibri" w:eastAsia="Times New Roman" w:cs="Calibri"/>
                <w:b/>
                <w:bCs/>
                <w:lang w:eastAsia="cs-CZ"/>
              </w:rPr>
            </w:pPr>
            <w:r>
              <w:rPr>
                <w:rFonts w:ascii="Calibri" w:hAnsi="Calibri" w:eastAsia="Times New Roman" w:cs="Calibri"/>
                <w:b/>
                <w:bCs/>
                <w:lang w:eastAsia="cs-CZ"/>
              </w:rPr>
              <w:t xml:space="preserve">0,249</w:t>
            </w:r>
            <w:r>
              <w:rPr>
                <w:rFonts w:ascii="Calibri" w:hAnsi="Calibri" w:eastAsia="Times New Roman" w:cs="Calibri"/>
                <w:b/>
                <w:bCs/>
                <w:lang w:eastAsia="cs-CZ"/>
              </w:rPr>
            </w:r>
          </w:p>
        </w:tc>
        <w:tc>
          <w:tcPr>
            <w:shd w:val="clear" w:color="auto" w:fill="auto"/>
            <w:tcBorders>
              <w:top w:val="none" w:color="000000" w:sz="4" w:space="0"/>
              <w:left w:val="none" w:color="000000" w:sz="4" w:space="0"/>
              <w:bottom w:val="none" w:color="000000" w:sz="4" w:space="0"/>
              <w:right w:val="none" w:color="000000" w:sz="4" w:space="0"/>
            </w:tcBorders>
            <w:tcW w:w="936"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t xml:space="preserve">t/rok</w:t>
            </w:r>
            <w:r>
              <w:rPr>
                <w:rFonts w:ascii="Calibri" w:hAnsi="Calibri" w:eastAsia="Times New Roman" w:cs="Calibri"/>
                <w:lang w:eastAsia="cs-CZ"/>
              </w:rPr>
            </w:r>
          </w:p>
        </w:tc>
        <w:tc>
          <w:tcPr>
            <w:shd w:val="clear" w:color="auto" w:fill="auto"/>
            <w:tcBorders>
              <w:top w:val="none" w:color="000000" w:sz="4" w:space="0"/>
              <w:left w:val="none" w:color="000000" w:sz="4" w:space="0"/>
              <w:bottom w:val="none" w:color="000000" w:sz="4" w:space="0"/>
              <w:right w:val="none" w:color="000000" w:sz="4" w:space="0"/>
            </w:tcBorders>
            <w:tcW w:w="265" w:type="dxa"/>
            <w:vAlign w:val="bottom"/>
            <w:textDirection w:val="lrTb"/>
            <w:noWrap/>
          </w:tcPr>
          <w:p>
            <w:pPr>
              <w:pBdr/>
              <w:spacing/>
              <w:ind/>
              <w:rPr>
                <w:rFonts w:ascii="Calibri" w:hAnsi="Calibri" w:eastAsia="Times New Roman" w:cs="Calibri"/>
                <w:lang w:eastAsia="cs-CZ"/>
              </w:rPr>
            </w:pPr>
            <w:r>
              <w:rPr>
                <w:rFonts w:ascii="Calibri" w:hAnsi="Calibri" w:eastAsia="Times New Roman" w:cs="Calibri"/>
                <w:lang w:eastAsia="cs-CZ"/>
              </w:rPr>
            </w:r>
            <w:r>
              <w:rPr>
                <w:rFonts w:ascii="Calibri" w:hAnsi="Calibri" w:eastAsia="Times New Roman" w:cs="Calibri"/>
                <w:lang w:eastAsia="cs-CZ"/>
              </w:rPr>
            </w:r>
          </w:p>
        </w:tc>
      </w:tr>
    </w:tbl>
    <w:p>
      <w:pPr>
        <w:pBdr/>
        <w:spacing/>
        <w:ind/>
        <w:rPr>
          <w:sz w:val="22"/>
          <w:u w:val="single"/>
        </w:rPr>
      </w:pPr>
      <w:r>
        <w:rPr>
          <w:sz w:val="22"/>
          <w:u w:val="single"/>
        </w:rPr>
      </w:r>
      <w:r>
        <w:rPr>
          <w:sz w:val="22"/>
          <w:u w:val="single"/>
        </w:rPr>
      </w:r>
    </w:p>
    <w:p>
      <w:pPr>
        <w:pBdr/>
        <w:spacing/>
        <w:ind/>
        <w:rPr>
          <w:rFonts w:ascii="Calibri" w:hAnsi="Calibri" w:eastAsia="Times New Roman" w:cs="Calibri"/>
          <w:b/>
          <w:sz w:val="22"/>
          <w:lang w:eastAsia="cs-CZ"/>
        </w:rPr>
      </w:pPr>
      <w:r>
        <w:rPr>
          <w:rFonts w:ascii="Calibri" w:hAnsi="Calibri" w:eastAsia="Times New Roman" w:cs="Calibri"/>
          <w:b/>
          <w:sz w:val="22"/>
          <w:lang w:eastAsia="cs-CZ"/>
        </w:rPr>
        <w:t xml:space="preserve">Koncentrace N</w:t>
      </w:r>
      <w:r>
        <w:rPr>
          <w:rFonts w:ascii="Calibri" w:hAnsi="Calibri" w:eastAsia="Times New Roman" w:cs="Calibri"/>
          <w:b/>
          <w:sz w:val="22"/>
          <w:vertAlign w:val="subscript"/>
          <w:lang w:eastAsia="cs-CZ"/>
        </w:rPr>
        <w:t xml:space="preserve">CELK </w:t>
      </w:r>
      <w:r>
        <w:rPr>
          <w:rFonts w:ascii="Calibri" w:hAnsi="Calibri" w:eastAsia="Times New Roman" w:cs="Calibri"/>
          <w:b/>
          <w:sz w:val="22"/>
          <w:lang w:eastAsia="cs-CZ"/>
        </w:rPr>
        <w:t xml:space="preserve">na odtoku z ČOV </w:t>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t xml:space="preserve">   15 mg/l</w:t>
      </w:r>
      <w:r>
        <w:rPr>
          <w:rFonts w:ascii="Calibri" w:hAnsi="Calibri" w:eastAsia="Times New Roman" w:cs="Calibri"/>
          <w:b/>
          <w:sz w:val="22"/>
          <w:lang w:eastAsia="cs-CZ"/>
        </w:rPr>
      </w:r>
    </w:p>
    <w:p>
      <w:pPr>
        <w:pBdr/>
        <w:spacing/>
        <w:ind/>
        <w:rPr>
          <w:rFonts w:ascii="Calibri" w:hAnsi="Calibri" w:eastAsia="Times New Roman" w:cs="Calibri"/>
          <w:b/>
          <w:sz w:val="22"/>
          <w:lang w:eastAsia="cs-CZ"/>
        </w:rPr>
      </w:pP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t xml:space="preserve">59,244 mg/s</w:t>
      </w:r>
      <w:r>
        <w:rPr>
          <w:rFonts w:ascii="Calibri" w:hAnsi="Calibri" w:eastAsia="Times New Roman" w:cs="Calibri"/>
          <w:b/>
          <w:sz w:val="22"/>
          <w:lang w:eastAsia="cs-CZ"/>
        </w:rPr>
      </w:r>
    </w:p>
    <w:p>
      <w:pPr>
        <w:pBdr/>
        <w:spacing/>
        <w:ind/>
        <w:rPr>
          <w:rFonts w:ascii="Calibri" w:hAnsi="Calibri" w:eastAsia="Times New Roman" w:cs="Calibri"/>
          <w:b/>
          <w:sz w:val="22"/>
          <w:lang w:eastAsia="cs-CZ"/>
        </w:rPr>
      </w:pP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t xml:space="preserve">               5,118 kg/d</w:t>
      </w:r>
      <w:r>
        <w:rPr>
          <w:rFonts w:ascii="Calibri" w:hAnsi="Calibri" w:eastAsia="Times New Roman" w:cs="Calibri"/>
          <w:b/>
          <w:sz w:val="22"/>
          <w:lang w:eastAsia="cs-CZ"/>
        </w:rPr>
      </w:r>
    </w:p>
    <w:p>
      <w:pPr>
        <w:pBdr/>
        <w:spacing/>
        <w:ind/>
        <w:rPr>
          <w:b/>
          <w:sz w:val="22"/>
        </w:rPr>
      </w:pP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r>
      <w:r>
        <w:rPr>
          <w:rFonts w:ascii="Calibri" w:hAnsi="Calibri" w:eastAsia="Times New Roman" w:cs="Calibri"/>
          <w:b/>
          <w:sz w:val="22"/>
          <w:lang w:eastAsia="cs-CZ"/>
        </w:rPr>
        <w:tab/>
        <w:t xml:space="preserve">1,868 t/rok</w:t>
      </w:r>
      <w:r>
        <w:rPr>
          <w:b/>
          <w:sz w:val="22"/>
        </w:rPr>
      </w:r>
    </w:p>
    <w:p>
      <w:pPr>
        <w:pBdr/>
        <w:spacing/>
        <w:ind/>
        <w:rPr>
          <w:sz w:val="22"/>
          <w:u w:val="single"/>
        </w:rPr>
      </w:pPr>
      <w:r>
        <w:rPr>
          <w:sz w:val="22"/>
          <w:u w:val="single"/>
        </w:rPr>
      </w:r>
      <w:r>
        <w:rPr>
          <w:sz w:val="22"/>
          <w:u w:val="single"/>
        </w:rPr>
      </w:r>
    </w:p>
    <w:p>
      <w:pPr>
        <w:pStyle w:val="825"/>
        <w:pBdr/>
        <w:spacing w:after="0"/>
        <w:ind w:left="0"/>
        <w:rPr>
          <w:sz w:val="22"/>
        </w:rPr>
      </w:pPr>
      <w:r>
        <w:rPr>
          <w:sz w:val="22"/>
        </w:rPr>
        <w:t xml:space="preserve">Detailně je technologické vystrojení řešeno ve strojně – technologické částí v příloze PS 01. </w:t>
      </w:r>
      <w:r>
        <w:rPr>
          <w:sz w:val="22"/>
        </w:rPr>
      </w:r>
    </w:p>
    <w:p>
      <w:pPr>
        <w:pBdr/>
        <w:spacing w:after="0"/>
        <w:ind/>
        <w:rPr>
          <w:sz w:val="22"/>
        </w:rPr>
      </w:pPr>
      <w:r>
        <w:rPr>
          <w:sz w:val="22"/>
        </w:rPr>
        <w:t xml:space="preserve">Součástí dokumentace je i elektro – technologická část v příloze PS 02. </w:t>
      </w:r>
      <w:r>
        <w:rPr>
          <w:sz w:val="22"/>
        </w:rPr>
      </w:r>
    </w:p>
    <w:p>
      <w:pPr>
        <w:pBdr/>
        <w:spacing w:after="0"/>
        <w:ind/>
        <w:rPr>
          <w:sz w:val="22"/>
        </w:rPr>
      </w:pPr>
      <w:r>
        <w:rPr>
          <w:sz w:val="22"/>
        </w:rPr>
        <w:t xml:space="preserve">V průběhu výstavby objektu ČOV není předpokládáno významné zhoršení odtokových parametrů, to je dáno harmonogramem výstavby, výstavba bude probíhat v těchto etapách:</w:t>
      </w:r>
      <w:r>
        <w:rPr>
          <w:sz w:val="22"/>
        </w:rPr>
      </w:r>
    </w:p>
    <w:p>
      <w:pPr>
        <w:pBdr/>
        <w:spacing w:after="0"/>
        <w:ind/>
        <w:rPr>
          <w:sz w:val="22"/>
        </w:rPr>
      </w:pPr>
      <w:r>
        <w:rPr>
          <w:sz w:val="22"/>
        </w:rPr>
        <w:t xml:space="preserve">V první etapě bude vybudován nový objekt ČOV, tedy nová aktivace s dosazováky. Po dokončení výstavby a odzkoušení zařízení bude</w:t>
      </w:r>
      <w:r>
        <w:rPr>
          <w:sz w:val="22"/>
        </w:rPr>
        <w:t xml:space="preserve"> provoz převeden do nových kapacit. Během vlastního přepojování přítoků a v rámci řešení přestrojování stávajícího objektu může krátkodobě dojít k nárazovému zhoršení parametrů na odtoku. Zhoršení parametrů by nemělo dle technologa přesáhnout hodnotu 20%. </w:t>
      </w:r>
      <w:r>
        <w:rPr>
          <w:sz w:val="22"/>
        </w:rPr>
      </w:r>
    </w:p>
    <w:p>
      <w:pPr>
        <w:pBdr/>
        <w:spacing w:after="0"/>
        <w:ind/>
        <w:rPr>
          <w:sz w:val="22"/>
        </w:rPr>
      </w:pPr>
      <w:r>
        <w:rPr>
          <w:sz w:val="22"/>
        </w:rPr>
      </w:r>
      <w:r>
        <w:rPr>
          <w:sz w:val="22"/>
        </w:rPr>
      </w:r>
    </w:p>
    <w:p>
      <w:pPr>
        <w:pStyle w:val="825"/>
        <w:numPr>
          <w:ilvl w:val="1"/>
          <w:numId w:val="3"/>
        </w:numPr>
        <w:pBdr/>
        <w:spacing/>
        <w:ind/>
        <w:outlineLvl w:val="1"/>
        <w:rPr>
          <w:b/>
          <w:sz w:val="22"/>
        </w:rPr>
      </w:pPr>
      <w:r/>
      <w:bookmarkStart w:id="7" w:name="_Toc195565193"/>
      <w:r>
        <w:rPr>
          <w:b/>
          <w:sz w:val="22"/>
        </w:rPr>
        <w:t xml:space="preserve">Zásady požární bezpečnosti</w:t>
      </w:r>
      <w:bookmarkEnd w:id="7"/>
      <w:r/>
      <w:r>
        <w:rPr>
          <w:b/>
          <w:sz w:val="22"/>
        </w:rPr>
      </w:r>
    </w:p>
    <w:p>
      <w:pPr>
        <w:pStyle w:val="825"/>
        <w:numPr>
          <w:ilvl w:val="0"/>
          <w:numId w:val="18"/>
        </w:numPr>
        <w:pBdr/>
        <w:spacing/>
        <w:ind w:hanging="567" w:left="567"/>
        <w:rPr>
          <w:sz w:val="22"/>
          <w:u w:val="single"/>
        </w:rPr>
      </w:pPr>
      <w:r>
        <w:rPr>
          <w:sz w:val="22"/>
          <w:u w:val="single"/>
        </w:rPr>
        <w:t xml:space="preserve">charakteristiky a kritéria pro stanovení kategorie stavby podle poža</w:t>
      </w:r>
      <w:r>
        <w:rPr>
          <w:sz w:val="22"/>
          <w:u w:val="single"/>
        </w:rPr>
        <w:t xml:space="preserve">davků jiného právního předpisu</w:t>
      </w:r>
      <w:r>
        <w:rPr>
          <w:sz w:val="22"/>
          <w:u w:val="single"/>
        </w:rPr>
        <w:t xml:space="preserve"> – výška stavby, zastavěná plocha, počet podlaží, počet osob, pro který je stavba určena, nebo jiný parametr stavby, zejména světlá výška podlaží nebo délka tunelu apod.,</w:t>
      </w:r>
      <w:r>
        <w:rPr>
          <w:sz w:val="22"/>
          <w:u w:val="single"/>
        </w:rPr>
      </w:r>
    </w:p>
    <w:p>
      <w:pPr>
        <w:pBdr/>
        <w:spacing/>
        <w:ind w:firstLine="360"/>
        <w:rPr>
          <w:sz w:val="22"/>
        </w:rPr>
      </w:pPr>
      <w:r>
        <w:rPr>
          <w:sz w:val="22"/>
        </w:rPr>
        <w:t xml:space="preserve">Objekt je </w:t>
      </w:r>
      <w:r>
        <w:rPr>
          <w:sz w:val="22"/>
        </w:rPr>
        <w:t xml:space="preserve">posuzován </w:t>
      </w:r>
      <w:r>
        <w:rPr>
          <w:sz w:val="22"/>
        </w:rPr>
        <w:t xml:space="preserve">jako</w:t>
      </w:r>
      <w:r>
        <w:rPr>
          <w:sz w:val="22"/>
        </w:rPr>
        <w:t xml:space="preserve"> jeden pož</w:t>
      </w:r>
      <w:r>
        <w:rPr>
          <w:sz w:val="22"/>
        </w:rPr>
        <w:t xml:space="preserve">ární úsek viz samostatná příloha této projektové dokumentace</w:t>
      </w:r>
      <w:r>
        <w:rPr>
          <w:sz w:val="22"/>
        </w:rPr>
        <w:t xml:space="preserve">. Další stavební objekty nepředstavují žádné riziko z hlediska požární ochrany. </w:t>
      </w:r>
      <w:r>
        <w:rPr>
          <w:sz w:val="22"/>
        </w:rPr>
      </w:r>
    </w:p>
    <w:p>
      <w:pPr>
        <w:pBdr/>
        <w:spacing/>
        <w:ind w:firstLine="360"/>
        <w:rPr>
          <w:sz w:val="22"/>
        </w:rPr>
      </w:pPr>
      <w:r>
        <w:rPr>
          <w:sz w:val="22"/>
        </w:rPr>
      </w:r>
      <w:r>
        <w:rPr>
          <w:sz w:val="22"/>
        </w:rPr>
      </w:r>
    </w:p>
    <w:p>
      <w:pPr>
        <w:pStyle w:val="825"/>
        <w:numPr>
          <w:ilvl w:val="1"/>
          <w:numId w:val="3"/>
        </w:numPr>
        <w:pBdr/>
        <w:spacing/>
        <w:ind/>
        <w:outlineLvl w:val="1"/>
        <w:rPr>
          <w:b/>
          <w:sz w:val="22"/>
        </w:rPr>
      </w:pPr>
      <w:r/>
      <w:bookmarkStart w:id="8" w:name="_Toc195565194"/>
      <w:r>
        <w:rPr>
          <w:b/>
          <w:sz w:val="22"/>
        </w:rPr>
        <w:t xml:space="preserve">Hygienické požadavky na stavbu, požadavky na pracovní a komunální prostředí</w:t>
      </w:r>
      <w:bookmarkEnd w:id="8"/>
      <w:r/>
      <w:r>
        <w:rPr>
          <w:b/>
          <w:sz w:val="22"/>
        </w:rPr>
      </w:r>
    </w:p>
    <w:p>
      <w:pPr>
        <w:pBdr/>
        <w:spacing/>
        <w:ind w:firstLine="360"/>
        <w:rPr>
          <w:sz w:val="22"/>
        </w:rPr>
      </w:pPr>
      <w:r>
        <w:rPr>
          <w:sz w:val="22"/>
        </w:rPr>
        <w:t xml:space="preserve">Technické řešení stavebních objektů je v souladu s příslušnými normami, zákony a nařízeními.</w:t>
      </w:r>
      <w:r>
        <w:rPr>
          <w:sz w:val="22"/>
        </w:rPr>
        <w:t xml:space="preserve"> Stavba svým charakterem nepředstavuje žádné riziko pro obyvatele ani ohrožení živo</w:t>
      </w:r>
      <w:r>
        <w:rPr>
          <w:sz w:val="22"/>
        </w:rPr>
        <w:t xml:space="preserve">tního prostředí. Během realizace lze očekávat dočasné zvýšení prachových emisí a určité znečištění při zemních pracích, dopravě zemin, materiálu a provozu stavebních strojů. Ovlivnění ovzduší se projeví v bezprostředním okolí jednotlivých stavenišť a nebud</w:t>
      </w:r>
      <w:r>
        <w:rPr>
          <w:sz w:val="22"/>
        </w:rPr>
        <w:t xml:space="preserve">e mít dopad na širší okolí stavby. Lze je hodnotit jako málo významné až nevýznamné. Zhotovitel je vázán předpisy BOZP a musí vzít v úvahu, že pracuje v místě zdroje pitné vody. Veškeré odpady musí likvidovat ihned po jejich vzniku dle platné legislativy. </w:t>
      </w:r>
      <w:r>
        <w:rPr>
          <w:sz w:val="22"/>
        </w:rPr>
      </w:r>
    </w:p>
    <w:p>
      <w:pPr>
        <w:pBdr/>
        <w:spacing/>
        <w:ind w:firstLine="360"/>
        <w:rPr>
          <w:b/>
          <w:color w:val="808080" w:themeColor="background1" w:themeShade="80"/>
          <w:sz w:val="22"/>
        </w:rPr>
      </w:pPr>
      <w:r>
        <w:rPr>
          <w:sz w:val="22"/>
        </w:rPr>
        <w:t xml:space="preserve">Pro následný provoz obj</w:t>
      </w:r>
      <w:r>
        <w:rPr>
          <w:sz w:val="22"/>
        </w:rPr>
        <w:t xml:space="preserve">ektu ČOV je třeba vypracovat (aktualizovat) manipulační a provozní řád, který obsahuje provozní a zákonné předpisy pro veškeré instalované strojně – technologické zařízení a předpisy o bezpečnosti a ochraně zdraví při práci. Obsluha v provozu je vystavena </w:t>
      </w:r>
      <w:r>
        <w:rPr>
          <w:sz w:val="22"/>
        </w:rPr>
        <w:t xml:space="preserve">nebezpeční fyzického zranění, je proto povinna dodržovat provozní řád, zákoník práce a veškeré předpisy, směrnice a normy zajišťující bezpečný provoz. Zaměstnavatel je povinen zajistit, aby pracovníci obsluhy absolvovali teoretické i praktické školení </w:t>
      </w:r>
      <w:r>
        <w:rPr>
          <w:sz w:val="22"/>
        </w:rPr>
        <w:t xml:space="preserve">na příslušném pracovním úseku, byli seznámeni s technickými předpisy pro obsluhované zařízení, bezpečnostními a protipožárními opatřeními a poskytováním první pomoci. Pracovníci musí být dále vybaveni odpovídajícím ochranným oděvem a ochrannými pomůckami. </w:t>
      </w:r>
      <w:r>
        <w:rPr>
          <w:b/>
          <w:color w:val="808080" w:themeColor="background1" w:themeShade="80"/>
          <w:sz w:val="22"/>
        </w:rPr>
      </w:r>
    </w:p>
    <w:p>
      <w:pPr>
        <w:pStyle w:val="825"/>
        <w:numPr>
          <w:ilvl w:val="1"/>
          <w:numId w:val="3"/>
        </w:numPr>
        <w:pBdr/>
        <w:spacing/>
        <w:ind/>
        <w:outlineLvl w:val="1"/>
        <w:rPr>
          <w:b/>
          <w:sz w:val="22"/>
        </w:rPr>
      </w:pPr>
      <w:r/>
      <w:bookmarkStart w:id="9" w:name="_Toc195565195"/>
      <w:r>
        <w:rPr>
          <w:b/>
          <w:sz w:val="22"/>
        </w:rPr>
        <w:t xml:space="preserve">Zásady ochrany stavby před negativními účinky vnějšího prostředí</w:t>
      </w:r>
      <w:bookmarkEnd w:id="9"/>
      <w:r/>
      <w:r>
        <w:rPr>
          <w:b/>
          <w:sz w:val="22"/>
        </w:rPr>
      </w:r>
    </w:p>
    <w:p>
      <w:pPr>
        <w:pBdr/>
        <w:spacing w:after="0" w:line="240" w:lineRule="auto"/>
        <w:ind/>
        <w:rPr>
          <w:sz w:val="22"/>
        </w:rPr>
      </w:pPr>
      <w:r>
        <w:rPr>
          <w:sz w:val="22"/>
        </w:rPr>
        <w:t xml:space="preserve">-</w:t>
      </w:r>
      <w:r>
        <w:rPr>
          <w:sz w:val="22"/>
        </w:rPr>
        <w:tab/>
        <w:t xml:space="preserve">Ochrana před pronikáním radonu z podloží – prostory objektu jsou odvětrány</w:t>
      </w:r>
      <w:r>
        <w:rPr>
          <w:sz w:val="22"/>
        </w:rPr>
      </w:r>
    </w:p>
    <w:p>
      <w:pPr>
        <w:pBdr/>
        <w:spacing w:after="0" w:line="240" w:lineRule="auto"/>
        <w:ind/>
        <w:rPr>
          <w:sz w:val="22"/>
        </w:rPr>
      </w:pPr>
      <w:r>
        <w:rPr>
          <w:sz w:val="22"/>
        </w:rPr>
        <w:t xml:space="preserve">-</w:t>
      </w:r>
      <w:r>
        <w:rPr>
          <w:sz w:val="22"/>
        </w:rPr>
        <w:tab/>
        <w:t xml:space="preserve">Protipovodňová opatření – stavba se nenachází v záplavové oblasti</w:t>
      </w:r>
      <w:r>
        <w:rPr>
          <w:sz w:val="22"/>
        </w:rPr>
      </w:r>
    </w:p>
    <w:p>
      <w:pPr>
        <w:pBdr/>
        <w:spacing w:after="0" w:line="240" w:lineRule="auto"/>
        <w:ind/>
        <w:rPr>
          <w:sz w:val="22"/>
        </w:rPr>
      </w:pPr>
      <w:r>
        <w:rPr>
          <w:sz w:val="22"/>
        </w:rPr>
        <w:t xml:space="preserve">-</w:t>
      </w:r>
      <w:r>
        <w:rPr>
          <w:sz w:val="22"/>
        </w:rPr>
        <w:tab/>
        <w:t xml:space="preserve">Ochrana před bludnými proudy – </w:t>
      </w:r>
      <w:r>
        <w:rPr>
          <w:sz w:val="22"/>
        </w:rPr>
        <w:t xml:space="preserve">netýká se</w:t>
      </w:r>
      <w:r>
        <w:rPr>
          <w:sz w:val="22"/>
        </w:rPr>
        <w:t xml:space="preserve"> </w:t>
      </w:r>
      <w:r>
        <w:rPr>
          <w:sz w:val="22"/>
        </w:rPr>
      </w:r>
    </w:p>
    <w:p>
      <w:pPr>
        <w:pBdr/>
        <w:spacing w:after="0" w:line="240" w:lineRule="auto"/>
        <w:ind/>
        <w:rPr>
          <w:sz w:val="22"/>
        </w:rPr>
      </w:pPr>
      <w:r>
        <w:rPr>
          <w:sz w:val="22"/>
        </w:rPr>
        <w:t xml:space="preserve">-</w:t>
      </w:r>
      <w:r>
        <w:rPr>
          <w:sz w:val="22"/>
        </w:rPr>
        <w:tab/>
        <w:t xml:space="preserve">Ochrana před hlukem – s ohledem na charakter stavby není nutno řešit. PD neklade nárok na ochranu okolí proti hluku – zhotovitel je nucen používat ochranné</w:t>
      </w:r>
      <w:r>
        <w:rPr>
          <w:sz w:val="22"/>
        </w:rPr>
        <w:t xml:space="preserve"> pomůcky pro ochranu pracovníků. </w:t>
      </w:r>
      <w:r>
        <w:rPr>
          <w:sz w:val="22"/>
        </w:rPr>
      </w:r>
    </w:p>
    <w:p>
      <w:pPr>
        <w:pBdr/>
        <w:spacing w:after="0" w:line="240" w:lineRule="auto"/>
        <w:ind/>
        <w:rPr>
          <w:sz w:val="22"/>
        </w:rPr>
      </w:pPr>
      <w:r>
        <w:rPr>
          <w:sz w:val="22"/>
        </w:rPr>
      </w:r>
      <w:r>
        <w:rPr>
          <w:sz w:val="22"/>
        </w:rPr>
      </w:r>
    </w:p>
    <w:p>
      <w:pPr>
        <w:pBdr/>
        <w:spacing w:after="0" w:line="240" w:lineRule="auto"/>
        <w:ind/>
        <w:rPr>
          <w:sz w:val="22"/>
        </w:rPr>
      </w:pPr>
      <w:r>
        <w:rPr>
          <w:sz w:val="22"/>
        </w:rPr>
        <w:t xml:space="preserve">Ostatní účin</w:t>
      </w:r>
      <w:r>
        <w:rPr>
          <w:sz w:val="22"/>
        </w:rPr>
        <w:t xml:space="preserve">ky nejsou řešeny. </w:t>
      </w:r>
      <w:r>
        <w:rPr>
          <w:sz w:val="22"/>
        </w:rPr>
        <w:t xml:space="preserve">Stavbu není nutno chránit proti vlivům prostředí. Je však nutné respektovat všechny druhy ochranných a bezpečnostních pásem v dotčené lokalitě dle zákonů a příslušných prováděcích vyhlášek.</w:t>
      </w:r>
      <w:r>
        <w:rPr>
          <w:sz w:val="22"/>
        </w:rPr>
      </w:r>
    </w:p>
    <w:p>
      <w:pPr>
        <w:pBdr/>
        <w:spacing w:after="0" w:line="240" w:lineRule="auto"/>
        <w:ind/>
        <w:rPr>
          <w:sz w:val="22"/>
        </w:rPr>
      </w:pPr>
      <w:r>
        <w:rPr>
          <w:sz w:val="22"/>
        </w:rPr>
      </w:r>
      <w:r>
        <w:rPr>
          <w:sz w:val="22"/>
        </w:rPr>
      </w:r>
    </w:p>
    <w:p>
      <w:pPr>
        <w:pStyle w:val="825"/>
        <w:numPr>
          <w:ilvl w:val="0"/>
          <w:numId w:val="3"/>
        </w:numPr>
        <w:pBdr/>
        <w:spacing/>
        <w:ind/>
        <w:outlineLvl w:val="0"/>
        <w:rPr>
          <w:b/>
          <w:sz w:val="24"/>
          <w:szCs w:val="24"/>
        </w:rPr>
      </w:pPr>
      <w:r/>
      <w:bookmarkStart w:id="10" w:name="_Toc195565196"/>
      <w:r>
        <w:rPr>
          <w:b/>
          <w:sz w:val="24"/>
          <w:szCs w:val="24"/>
        </w:rPr>
        <w:t xml:space="preserve">Připojení na technickou infrastrukturu</w:t>
      </w:r>
      <w:bookmarkEnd w:id="10"/>
      <w:r/>
      <w:r>
        <w:rPr>
          <w:b/>
          <w:sz w:val="24"/>
          <w:szCs w:val="24"/>
        </w:rPr>
      </w:r>
    </w:p>
    <w:p>
      <w:pPr>
        <w:pBdr/>
        <w:spacing/>
        <w:ind w:firstLine="360"/>
        <w:rPr>
          <w:sz w:val="22"/>
        </w:rPr>
      </w:pPr>
      <w:r>
        <w:rPr>
          <w:sz w:val="22"/>
        </w:rPr>
        <w:t xml:space="preserve">Nově navržené stavební objekty budou napojeny na stávající technickou infrastrukturu v areálu ČOV. </w:t>
      </w:r>
      <w:r>
        <w:rPr>
          <w:sz w:val="22"/>
        </w:rPr>
      </w:r>
    </w:p>
    <w:p>
      <w:pPr>
        <w:pBdr/>
        <w:spacing/>
        <w:ind w:firstLine="360"/>
        <w:rPr>
          <w:sz w:val="22"/>
        </w:rPr>
      </w:pPr>
      <w:r>
        <w:rPr>
          <w:sz w:val="22"/>
        </w:rPr>
        <w:t xml:space="preserve">Součástí této dokumentace je dokumentace stavebních elektroinstalací v objektu SO 01 – </w:t>
      </w:r>
      <w:r>
        <w:rPr>
          <w:sz w:val="22"/>
        </w:rPr>
        <w:t xml:space="preserve">Kalolisovna</w:t>
      </w:r>
      <w:r>
        <w:rPr>
          <w:sz w:val="22"/>
        </w:rPr>
        <w:t xml:space="preserve"> a SO 02 – Nová budova ČOV. Součástí je i protokol o určení vnějších vlivů. Elektro část je řešena v příslušné příloze této dokumentace. </w:t>
      </w:r>
      <w:r>
        <w:rPr>
          <w:sz w:val="22"/>
        </w:rPr>
      </w:r>
    </w:p>
    <w:p>
      <w:pPr>
        <w:pBdr/>
        <w:spacing/>
        <w:ind w:firstLine="360"/>
        <w:rPr>
          <w:sz w:val="22"/>
        </w:rPr>
      </w:pPr>
      <w:r>
        <w:rPr>
          <w:b/>
          <w:sz w:val="22"/>
        </w:rPr>
        <w:t xml:space="preserve">Dopravní obslužnost</w:t>
      </w:r>
      <w:r>
        <w:rPr>
          <w:sz w:val="22"/>
        </w:rPr>
        <w:t xml:space="preserve"> během výstavby a následnému provozu bude zajištěna po stávajících veřejných místn</w:t>
      </w:r>
      <w:r>
        <w:rPr>
          <w:sz w:val="22"/>
        </w:rPr>
        <w:t xml:space="preserve">ích komunikacích a po stávající přístupové cestě </w:t>
      </w:r>
      <w:r>
        <w:rPr>
          <w:sz w:val="22"/>
        </w:rPr>
        <w:t xml:space="preserve">k objekt</w:t>
      </w:r>
      <w:r>
        <w:rPr>
          <w:sz w:val="22"/>
        </w:rPr>
        <w:t xml:space="preserve">u</w:t>
      </w:r>
      <w:r>
        <w:rPr>
          <w:sz w:val="22"/>
        </w:rPr>
        <w:t xml:space="preserve">. </w:t>
      </w:r>
      <w:r>
        <w:rPr>
          <w:sz w:val="22"/>
        </w:rPr>
        <w:t xml:space="preserve">Příjezd </w:t>
      </w:r>
      <w:r>
        <w:rPr>
          <w:sz w:val="22"/>
        </w:rPr>
        <w:t xml:space="preserve">do areálu ČOV</w:t>
      </w:r>
      <w:r>
        <w:rPr>
          <w:sz w:val="22"/>
        </w:rPr>
        <w:t xml:space="preserve"> zůstane stávající po </w:t>
      </w:r>
      <w:r>
        <w:rPr>
          <w:sz w:val="22"/>
        </w:rPr>
        <w:t xml:space="preserve">stávající cestě</w:t>
      </w:r>
      <w:r>
        <w:rPr>
          <w:sz w:val="22"/>
        </w:rPr>
        <w:t xml:space="preserve">, která navazuje na stávající asfaltovou cestu vedoucí z obce </w:t>
      </w:r>
      <w:r>
        <w:rPr>
          <w:sz w:val="22"/>
        </w:rPr>
        <w:t xml:space="preserve">Třebotov</w:t>
      </w:r>
      <w:r>
        <w:rPr>
          <w:sz w:val="22"/>
        </w:rPr>
        <w:t xml:space="preserve">. </w:t>
      </w:r>
      <w:r>
        <w:rPr>
          <w:sz w:val="22"/>
        </w:rPr>
      </w:r>
    </w:p>
    <w:p>
      <w:pPr>
        <w:pBdr/>
        <w:spacing/>
        <w:ind w:firstLine="360"/>
        <w:rPr>
          <w:sz w:val="22"/>
        </w:rPr>
      </w:pPr>
      <w:r>
        <w:rPr>
          <w:b/>
          <w:sz w:val="22"/>
        </w:rPr>
        <w:t xml:space="preserve">Elektrická energie</w:t>
      </w:r>
      <w:r>
        <w:rPr>
          <w:sz w:val="22"/>
        </w:rPr>
        <w:t xml:space="preserve"> bude odebírána ze stávající elektro přípojky NN, která bude po dobu výstavby zachována. </w:t>
      </w:r>
      <w:r>
        <w:rPr>
          <w:sz w:val="22"/>
        </w:rPr>
        <w:t xml:space="preserve">V průběhu výstavby bude potřeba elektrické energie pro provádění</w:t>
      </w:r>
      <w:r>
        <w:rPr>
          <w:sz w:val="22"/>
        </w:rPr>
        <w:t xml:space="preserve"> stavby</w:t>
      </w:r>
      <w:r>
        <w:rPr>
          <w:sz w:val="22"/>
        </w:rPr>
        <w:t xml:space="preserve">. V době provozu vzniknou nároky na elektrickou energii pro chod </w:t>
      </w:r>
      <w:r>
        <w:rPr>
          <w:sz w:val="22"/>
        </w:rPr>
        <w:t xml:space="preserve">technologie</w:t>
      </w:r>
      <w:r>
        <w:rPr>
          <w:sz w:val="22"/>
        </w:rPr>
        <w:t xml:space="preserve">, osvětlení objektu v čase obsluhy a pro zajištění přenosu stavů radiovým signálem. </w:t>
      </w:r>
      <w:r>
        <w:rPr>
          <w:sz w:val="22"/>
        </w:rPr>
      </w:r>
    </w:p>
    <w:p>
      <w:pPr>
        <w:pBdr/>
        <w:spacing/>
        <w:ind w:firstLine="360"/>
        <w:rPr>
          <w:sz w:val="22"/>
        </w:rPr>
      </w:pPr>
      <w:r>
        <w:rPr>
          <w:b/>
          <w:sz w:val="22"/>
        </w:rPr>
        <w:t xml:space="preserve">Technologické vystrojení</w:t>
      </w:r>
      <w:r>
        <w:rPr>
          <w:sz w:val="22"/>
        </w:rPr>
        <w:t xml:space="preserve"> bud</w:t>
      </w:r>
      <w:r>
        <w:rPr>
          <w:sz w:val="22"/>
        </w:rPr>
        <w:t xml:space="preserve">e navazovat na stávající řešení.</w:t>
      </w:r>
      <w:r>
        <w:rPr>
          <w:sz w:val="22"/>
        </w:rPr>
      </w:r>
    </w:p>
    <w:p>
      <w:pPr>
        <w:pBdr/>
        <w:spacing/>
        <w:ind w:firstLine="360"/>
        <w:rPr>
          <w:sz w:val="22"/>
        </w:rPr>
      </w:pPr>
      <w:r>
        <w:rPr>
          <w:sz w:val="22"/>
        </w:rPr>
        <w:t xml:space="preserve">Při stavebních pracích nebudou vznikat žádné splaškové odpadní vody. V zařízeních staveniště budou instalována mobilní WC. </w:t>
      </w:r>
      <w:r>
        <w:rPr>
          <w:sz w:val="22"/>
        </w:rPr>
      </w:r>
    </w:p>
    <w:p>
      <w:pPr>
        <w:pBdr/>
        <w:spacing/>
        <w:ind w:firstLine="360"/>
        <w:rPr>
          <w:sz w:val="22"/>
        </w:rPr>
      </w:pPr>
      <w:r>
        <w:rPr>
          <w:sz w:val="22"/>
        </w:rPr>
        <w:t xml:space="preserve">Po instalaci potřebného vybavení na přenosy dat bude zajištěna informační a telekomunikační síť. </w:t>
      </w:r>
      <w:r>
        <w:rPr>
          <w:sz w:val="22"/>
        </w:rPr>
      </w:r>
    </w:p>
    <w:p>
      <w:pPr>
        <w:pBdr/>
        <w:spacing/>
        <w:ind w:firstLine="360"/>
        <w:rPr>
          <w:sz w:val="22"/>
        </w:rPr>
      </w:pPr>
      <w:r>
        <w:rPr>
          <w:sz w:val="22"/>
        </w:rPr>
        <w:t xml:space="preserve">V budoucnu dojde k výstavbě výtlačného řadu z místní části </w:t>
      </w:r>
      <w:r>
        <w:rPr>
          <w:sz w:val="22"/>
        </w:rPr>
        <w:t xml:space="preserve">Solopisky</w:t>
      </w:r>
      <w:r>
        <w:rPr>
          <w:sz w:val="22"/>
        </w:rPr>
        <w:t xml:space="preserve"> a Kala. Výtlačný řad bude napojen na stávající nátok na objekt ČOV v areálu. Na nátoku na objekt ČOV bude osazen T-kus. </w:t>
      </w:r>
      <w:r>
        <w:rPr>
          <w:sz w:val="22"/>
        </w:rPr>
      </w:r>
    </w:p>
    <w:p>
      <w:pPr>
        <w:pStyle w:val="825"/>
        <w:numPr>
          <w:ilvl w:val="0"/>
          <w:numId w:val="3"/>
        </w:numPr>
        <w:pBdr/>
        <w:spacing/>
        <w:ind/>
        <w:outlineLvl w:val="0"/>
        <w:rPr>
          <w:b/>
          <w:sz w:val="24"/>
          <w:szCs w:val="24"/>
        </w:rPr>
      </w:pPr>
      <w:r/>
      <w:bookmarkStart w:id="11" w:name="_Toc195565197"/>
      <w:r>
        <w:rPr>
          <w:b/>
          <w:sz w:val="24"/>
          <w:szCs w:val="24"/>
        </w:rPr>
        <w:t xml:space="preserve">Dopravní řešení</w:t>
      </w:r>
      <w:bookmarkEnd w:id="11"/>
      <w:r/>
      <w:r>
        <w:rPr>
          <w:b/>
          <w:sz w:val="24"/>
          <w:szCs w:val="24"/>
        </w:rPr>
      </w:r>
    </w:p>
    <w:p>
      <w:pPr>
        <w:pBdr/>
        <w:spacing/>
        <w:ind w:firstLine="360"/>
        <w:rPr>
          <w:sz w:val="22"/>
        </w:rPr>
      </w:pPr>
      <w:r>
        <w:rPr>
          <w:sz w:val="22"/>
        </w:rPr>
        <w:t xml:space="preserve">Tato projektová dokumentace</w:t>
      </w:r>
      <w:r>
        <w:rPr>
          <w:sz w:val="22"/>
        </w:rPr>
        <w:t xml:space="preserve"> neřeší dopravně inženýrské opatření. </w:t>
      </w:r>
      <w:r>
        <w:rPr>
          <w:sz w:val="22"/>
        </w:rPr>
        <w:t xml:space="preserve">Stavební práce budou probíhat v zeleni, tudíž není kladen nárok na řešení dopravní infrastruktury. </w:t>
      </w:r>
      <w:r>
        <w:rPr>
          <w:sz w:val="22"/>
        </w:rPr>
      </w:r>
    </w:p>
    <w:p>
      <w:pPr>
        <w:pBdr/>
        <w:spacing/>
        <w:ind w:firstLine="360"/>
        <w:rPr>
          <w:sz w:val="22"/>
          <w:szCs w:val="22"/>
          <w:highlight w:val="none"/>
        </w:rPr>
      </w:pPr>
      <w:r>
        <w:rPr>
          <w:sz w:val="22"/>
        </w:rPr>
        <w:t xml:space="preserve">Areál ČOV bude přístupný po stávající komunikaci, z dopravního hlediska se jedná o rozšíření areálu bez nutnosti změn v dopravních poměrech. </w:t>
      </w:r>
      <w:r>
        <w:rPr>
          <w:sz w:val="22"/>
        </w:rPr>
      </w:r>
    </w:p>
    <w:p>
      <w:pPr>
        <w:pBdr/>
        <w:spacing/>
        <w:ind w:firstLine="360"/>
        <w:rPr>
          <w:sz w:val="22"/>
          <w:szCs w:val="22"/>
        </w:rPr>
      </w:pPr>
      <w:r>
        <w:rPr>
          <w:sz w:val="22"/>
          <w:szCs w:val="22"/>
        </w:rPr>
      </w:r>
      <w:r>
        <w:rPr>
          <w:sz w:val="22"/>
          <w:szCs w:val="22"/>
        </w:rPr>
      </w:r>
      <w:r>
        <w:rPr>
          <w:sz w:val="22"/>
          <w:szCs w:val="22"/>
        </w:rPr>
      </w:r>
    </w:p>
    <w:p>
      <w:pPr>
        <w:pBdr/>
        <w:spacing/>
        <w:ind w:firstLine="360"/>
        <w:rPr>
          <w:sz w:val="22"/>
          <w:szCs w:val="22"/>
        </w:rPr>
      </w:pPr>
      <w:r>
        <w:rPr>
          <w:sz w:val="22"/>
          <w:highlight w:val="none"/>
        </w:rPr>
      </w:r>
      <w:r>
        <w:rPr>
          <w:sz w:val="22"/>
          <w:highlight w:val="none"/>
        </w:rPr>
      </w:r>
      <w:r>
        <w:rPr>
          <w:sz w:val="22"/>
          <w:highlight w:val="none"/>
        </w:rPr>
      </w:r>
    </w:p>
    <w:p>
      <w:pPr>
        <w:pStyle w:val="825"/>
        <w:numPr>
          <w:ilvl w:val="0"/>
          <w:numId w:val="3"/>
        </w:numPr>
        <w:pBdr/>
        <w:spacing/>
        <w:ind/>
        <w:outlineLvl w:val="0"/>
        <w:rPr>
          <w:b/>
          <w:sz w:val="24"/>
          <w:szCs w:val="24"/>
        </w:rPr>
      </w:pPr>
      <w:r/>
      <w:bookmarkStart w:id="12" w:name="_Toc195565198"/>
      <w:r>
        <w:rPr>
          <w:b/>
          <w:sz w:val="24"/>
          <w:szCs w:val="24"/>
        </w:rPr>
        <w:t xml:space="preserve">Řešení vegetace a souvisejících terénních úprav</w:t>
      </w:r>
      <w:bookmarkEnd w:id="12"/>
      <w:r/>
      <w:r>
        <w:rPr>
          <w:b/>
          <w:sz w:val="24"/>
          <w:szCs w:val="24"/>
        </w:rPr>
      </w:r>
    </w:p>
    <w:p>
      <w:pPr>
        <w:pStyle w:val="835"/>
        <w:pBdr/>
        <w:spacing w:line="276" w:lineRule="auto"/>
        <w:ind/>
        <w:rPr>
          <w:rFonts w:cs="Arial"/>
          <w:szCs w:val="24"/>
        </w:rPr>
      </w:pPr>
      <w:r>
        <w:rPr>
          <w:rFonts w:cs="Arial"/>
        </w:rPr>
        <w:tab/>
      </w:r>
      <w:r>
        <w:rPr>
          <w:rFonts w:cs="Arial"/>
        </w:rPr>
        <w:t xml:space="preserve">Podle § 7 zákona ČNR č</w:t>
      </w:r>
      <w:r>
        <w:rPr>
          <w:rFonts w:cs="Arial"/>
        </w:rPr>
        <w:t xml:space="preserve">.114/1992 Sb. O ochraně přírody a krajiny je nutno veškeré dřeviny během výstavby chránit před poškozením. Výstavba musí být prováděna tak, aby nebyl porušen kořenový systém stávajících dřevin. Při provádění zemních prací bude postupováno podle doporučení </w:t>
      </w:r>
      <w:r>
        <w:rPr>
          <w:rFonts w:cs="Arial"/>
        </w:rPr>
        <w:t xml:space="preserve">ČSN 83 9061</w:t>
      </w:r>
      <w:r>
        <w:rPr>
          <w:rFonts w:cs="Arial"/>
        </w:rPr>
        <w:t xml:space="preserve">.</w:t>
      </w:r>
      <w:r>
        <w:rPr>
          <w:rFonts w:cs="Arial"/>
        </w:rPr>
        <w:t xml:space="preserve"> </w:t>
      </w:r>
      <w:r>
        <w:rPr>
          <w:rFonts w:cs="Arial"/>
        </w:rPr>
        <w:t xml:space="preserve">Stavba nevyžaduje žádné asanace a demolice. Při návrhu stavebních objektů byl kladen důraz na minimalizaci kácení.</w:t>
      </w:r>
      <w:r>
        <w:rPr>
          <w:rFonts w:cs="Arial"/>
          <w:szCs w:val="24"/>
        </w:rPr>
        <w:t xml:space="preserve"> </w:t>
      </w:r>
      <w:r>
        <w:rPr>
          <w:rFonts w:cs="Arial"/>
          <w:szCs w:val="24"/>
        </w:rPr>
        <w:t xml:space="preserve">Ochrana stávající zeleně bude zabezpečena dle </w:t>
      </w:r>
      <w:r>
        <w:rPr>
          <w:rFonts w:cs="Arial"/>
          <w:szCs w:val="24"/>
        </w:rPr>
        <w:t xml:space="preserve">ČSN </w:t>
      </w:r>
      <w:r>
        <w:rPr>
          <w:rFonts w:cs="Arial"/>
          <w:szCs w:val="24"/>
        </w:rPr>
        <w:t xml:space="preserve">83 9011</w:t>
      </w:r>
      <w:r>
        <w:rPr>
          <w:rFonts w:cs="Arial"/>
          <w:szCs w:val="24"/>
        </w:rPr>
        <w:t xml:space="preserve"> </w:t>
      </w:r>
      <w:r>
        <w:rPr>
          <w:rFonts w:cs="Arial"/>
          <w:szCs w:val="24"/>
        </w:rPr>
        <w:t xml:space="preserve">Technologie vegetačních úprav v krajině - </w:t>
      </w:r>
      <w:r>
        <w:rPr>
          <w:rFonts w:cs="Arial"/>
          <w:szCs w:val="24"/>
        </w:rPr>
        <w:t xml:space="preserve">Práce s půdou a </w:t>
      </w:r>
      <w:r>
        <w:rPr>
          <w:rFonts w:cs="Arial"/>
          <w:szCs w:val="24"/>
        </w:rPr>
        <w:t xml:space="preserve">ČSN </w:t>
      </w:r>
      <w:r>
        <w:rPr>
          <w:rFonts w:cs="Arial"/>
          <w:szCs w:val="24"/>
        </w:rPr>
        <w:t xml:space="preserve">83 9061</w:t>
      </w:r>
      <w:r>
        <w:rPr>
          <w:rFonts w:cs="Arial"/>
          <w:szCs w:val="24"/>
        </w:rPr>
        <w:t xml:space="preserve"> </w:t>
      </w:r>
      <w:r>
        <w:rPr>
          <w:rFonts w:cs="Arial"/>
          <w:szCs w:val="24"/>
        </w:rPr>
        <w:t xml:space="preserve">Technologie vegetačních úprav v krajině - </w:t>
      </w:r>
      <w:r>
        <w:rPr>
          <w:rFonts w:cs="Arial"/>
          <w:szCs w:val="24"/>
        </w:rPr>
        <w:t xml:space="preserve">Ochrana stromů, porostů a ploch pro vegetaci při stavebních </w:t>
      </w:r>
      <w:r>
        <w:rPr>
          <w:rFonts w:cs="Arial"/>
          <w:szCs w:val="24"/>
        </w:rPr>
        <w:t xml:space="preserve">pracích</w:t>
      </w:r>
      <w:r>
        <w:rPr>
          <w:rFonts w:cs="Arial"/>
          <w:szCs w:val="24"/>
        </w:rPr>
        <w:t xml:space="preserve">.</w:t>
      </w:r>
      <w:r>
        <w:rPr>
          <w:rFonts w:cs="Arial"/>
          <w:szCs w:val="24"/>
        </w:rPr>
      </w:r>
    </w:p>
    <w:p>
      <w:pPr>
        <w:pStyle w:val="835"/>
        <w:pBdr/>
        <w:spacing w:line="276" w:lineRule="auto"/>
        <w:ind/>
        <w:rPr>
          <w:rFonts w:cs="Arial"/>
          <w:szCs w:val="24"/>
        </w:rPr>
      </w:pPr>
      <w:r>
        <w:rPr>
          <w:rFonts w:cs="Arial"/>
          <w:szCs w:val="24"/>
        </w:rPr>
      </w:r>
      <w:r>
        <w:rPr>
          <w:rFonts w:cs="Arial"/>
          <w:szCs w:val="24"/>
        </w:rPr>
      </w:r>
    </w:p>
    <w:p>
      <w:pPr>
        <w:pStyle w:val="835"/>
        <w:pBdr/>
        <w:spacing w:line="276" w:lineRule="auto"/>
        <w:ind/>
        <w:rPr>
          <w:rFonts w:cs="Arial"/>
          <w:szCs w:val="24"/>
        </w:rPr>
      </w:pPr>
      <w:r>
        <w:rPr>
          <w:rFonts w:cs="Arial"/>
          <w:szCs w:val="24"/>
        </w:rPr>
        <w:tab/>
        <w:t xml:space="preserve">V tomto projektu nejsou řešena žádná biotechnická opatření. Před zaháj</w:t>
      </w:r>
      <w:r>
        <w:rPr>
          <w:rFonts w:cs="Arial"/>
          <w:szCs w:val="24"/>
        </w:rPr>
        <w:t xml:space="preserve">ením stavebních prací zajistí zhotovitel pasport dotčených pozemků, podle kterého budou pozemky po dokončení stavby navráceny do původního stavu. Pasport bude předložen investorovi před zahájením výstavby. Veškeré výkopy budou zpětně zasypány dle požadavků</w:t>
      </w:r>
      <w:r>
        <w:rPr>
          <w:rFonts w:cs="Arial"/>
          <w:szCs w:val="24"/>
        </w:rPr>
        <w:t xml:space="preserve"> a stanovisek dotčených orgánů. </w:t>
      </w:r>
      <w:r>
        <w:rPr>
          <w:rFonts w:cs="Arial"/>
          <w:szCs w:val="24"/>
        </w:rPr>
      </w:r>
    </w:p>
    <w:p>
      <w:pPr>
        <w:pStyle w:val="835"/>
        <w:pBdr/>
        <w:spacing w:line="276" w:lineRule="auto"/>
        <w:ind/>
        <w:rPr>
          <w:rFonts w:cs="Arial"/>
          <w:szCs w:val="24"/>
        </w:rPr>
      </w:pPr>
      <w:r>
        <w:rPr>
          <w:rFonts w:cs="Arial"/>
          <w:szCs w:val="24"/>
        </w:rPr>
      </w:r>
      <w:r>
        <w:rPr>
          <w:rFonts w:cs="Arial"/>
          <w:szCs w:val="24"/>
        </w:rPr>
      </w:r>
    </w:p>
    <w:p>
      <w:pPr>
        <w:pStyle w:val="835"/>
        <w:pBdr/>
        <w:spacing w:line="276" w:lineRule="auto"/>
        <w:ind/>
        <w:rPr>
          <w:rFonts w:cs="Arial"/>
          <w:szCs w:val="24"/>
        </w:rPr>
      </w:pPr>
      <w:r>
        <w:rPr>
          <w:rFonts w:cs="Arial"/>
          <w:szCs w:val="24"/>
        </w:rPr>
        <w:t xml:space="preserve">Odnětí zemědělské půdy ze ZPF bude pro pozemek objektu ČOV pod oplocením trvalého charakteru, jedná se o pozemek </w:t>
      </w:r>
      <w:r>
        <w:rPr>
          <w:rFonts w:cs="Arial"/>
          <w:szCs w:val="24"/>
        </w:rPr>
        <w:t xml:space="preserve">parc</w:t>
      </w:r>
      <w:r>
        <w:rPr>
          <w:rFonts w:cs="Arial"/>
          <w:szCs w:val="24"/>
        </w:rPr>
        <w:t xml:space="preserve">. </w:t>
      </w:r>
      <w:r>
        <w:rPr>
          <w:rFonts w:cs="Arial"/>
          <w:szCs w:val="24"/>
        </w:rPr>
        <w:t xml:space="preserve">č.</w:t>
      </w:r>
      <w:r>
        <w:rPr>
          <w:rFonts w:cs="Arial"/>
          <w:szCs w:val="24"/>
        </w:rPr>
        <w:t xml:space="preserve"> 163/2. Trvalý zábor je pouze v rámci rozsahu oplocení. Navržená stavba nebude kolidovat se vzrostlými stromy, dojde k odstranění kř</w:t>
      </w:r>
      <w:r>
        <w:rPr>
          <w:rFonts w:cs="Arial"/>
          <w:szCs w:val="24"/>
        </w:rPr>
        <w:t xml:space="preserve">ovin a náletů v pozemku u stávajícího objektu ČOV. Terénní úpravy budou spočívat ve vybudování náspu, dojde k zarovnání terénu podél nového objektu ČOV. Na svahy bude využit výkopek získaný při zemních pracích pro objekt ČOV, sklony svahu budou proměnlivé </w:t>
      </w:r>
      <w:r>
        <w:rPr>
          <w:rFonts w:cs="Arial"/>
          <w:szCs w:val="24"/>
        </w:rPr>
        <w:t xml:space="preserve">–</w:t>
      </w:r>
      <w:r>
        <w:rPr>
          <w:rFonts w:cs="Arial"/>
          <w:szCs w:val="24"/>
        </w:rPr>
        <w:t xml:space="preserve"> </w:t>
      </w:r>
      <w:r>
        <w:rPr>
          <w:rFonts w:cs="Arial"/>
          <w:szCs w:val="24"/>
        </w:rPr>
        <w:t xml:space="preserve">1:2 – 1:3. Svah bude urovnán a </w:t>
      </w:r>
      <w:r>
        <w:rPr>
          <w:rFonts w:cs="Arial"/>
          <w:szCs w:val="24"/>
        </w:rPr>
        <w:t xml:space="preserve">ohumusován</w:t>
      </w:r>
      <w:r>
        <w:rPr>
          <w:rFonts w:cs="Arial"/>
          <w:szCs w:val="24"/>
        </w:rPr>
        <w:t xml:space="preserve"> orniční vrstvou </w:t>
      </w:r>
      <w:r>
        <w:rPr>
          <w:rFonts w:cs="Arial"/>
          <w:szCs w:val="24"/>
        </w:rPr>
        <w:t xml:space="preserve">tl</w:t>
      </w:r>
      <w:r>
        <w:rPr>
          <w:rFonts w:cs="Arial"/>
          <w:szCs w:val="24"/>
        </w:rPr>
        <w:t xml:space="preserve">. 150 mm a následně dojde k osetí travním semenem. Plocha náspu vč. svahů je 777 m</w:t>
      </w:r>
      <w:r>
        <w:rPr>
          <w:rFonts w:cs="Arial"/>
          <w:szCs w:val="24"/>
          <w:vertAlign w:val="superscript"/>
        </w:rPr>
        <w:t xml:space="preserve">2</w:t>
      </w:r>
      <w:r>
        <w:rPr>
          <w:rFonts w:cs="Arial"/>
          <w:szCs w:val="24"/>
        </w:rPr>
        <w:t xml:space="preserve">.</w:t>
      </w:r>
      <w:r>
        <w:rPr>
          <w:rFonts w:cs="Arial"/>
          <w:szCs w:val="24"/>
        </w:rPr>
      </w:r>
    </w:p>
    <w:p>
      <w:pPr>
        <w:pStyle w:val="835"/>
        <w:pBdr/>
        <w:spacing w:line="276" w:lineRule="auto"/>
        <w:ind/>
        <w:rPr>
          <w:rFonts w:cs="Arial"/>
          <w:szCs w:val="24"/>
        </w:rPr>
      </w:pPr>
      <w:r>
        <w:rPr>
          <w:rFonts w:cs="Arial"/>
          <w:szCs w:val="24"/>
        </w:rPr>
      </w:r>
      <w:r>
        <w:rPr>
          <w:rFonts w:cs="Arial"/>
          <w:szCs w:val="24"/>
        </w:rPr>
      </w:r>
    </w:p>
    <w:p>
      <w:pPr>
        <w:pStyle w:val="825"/>
        <w:numPr>
          <w:ilvl w:val="0"/>
          <w:numId w:val="3"/>
        </w:numPr>
        <w:pBdr/>
        <w:spacing/>
        <w:ind/>
        <w:outlineLvl w:val="0"/>
        <w:rPr>
          <w:b/>
          <w:sz w:val="24"/>
          <w:szCs w:val="24"/>
        </w:rPr>
      </w:pPr>
      <w:r/>
      <w:bookmarkStart w:id="13" w:name="_Toc195565199"/>
      <w:r>
        <w:rPr>
          <w:b/>
          <w:sz w:val="24"/>
          <w:szCs w:val="24"/>
        </w:rPr>
        <w:t xml:space="preserve">Popis vlivů stavby na životní prostředí a jeho ochrana</w:t>
      </w:r>
      <w:bookmarkEnd w:id="13"/>
      <w:r/>
      <w:r>
        <w:rPr>
          <w:b/>
          <w:sz w:val="24"/>
          <w:szCs w:val="24"/>
        </w:rPr>
      </w:r>
    </w:p>
    <w:p>
      <w:pPr>
        <w:pStyle w:val="825"/>
        <w:numPr>
          <w:ilvl w:val="0"/>
          <w:numId w:val="19"/>
        </w:numPr>
        <w:pBdr/>
        <w:spacing/>
        <w:ind w:hanging="567" w:left="567"/>
        <w:rPr>
          <w:sz w:val="22"/>
        </w:rPr>
      </w:pPr>
      <w:r>
        <w:rPr>
          <w:sz w:val="22"/>
          <w:u w:val="single"/>
        </w:rPr>
        <w:t xml:space="preserve">vliv na životní prostředí a opatření vedoucí k minimalizaci negativních vlivů – zejména příroda a krajina, Natura 2000, ome</w:t>
      </w:r>
      <w:r>
        <w:rPr>
          <w:sz w:val="22"/>
          <w:u w:val="single"/>
        </w:rPr>
        <w:t xml:space="preserv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w:t>
      </w:r>
      <w:r>
        <w:rPr>
          <w:sz w:val="22"/>
          <w:u w:val="single"/>
        </w:rPr>
        <w:t xml:space="preserve">podle jiného právního předpisu</w:t>
      </w:r>
      <w:r>
        <w:rPr>
          <w:sz w:val="22"/>
        </w:rPr>
        <w:t xml:space="preserve">,</w:t>
      </w:r>
      <w:r>
        <w:rPr>
          <w:sz w:val="22"/>
        </w:rPr>
      </w:r>
    </w:p>
    <w:p>
      <w:pPr>
        <w:pStyle w:val="825"/>
        <w:pBdr/>
        <w:spacing/>
        <w:ind w:left="0"/>
        <w:rPr>
          <w:sz w:val="22"/>
        </w:rPr>
      </w:pPr>
      <w:r>
        <w:rPr>
          <w:sz w:val="22"/>
        </w:rPr>
      </w:r>
      <w:r>
        <w:rPr>
          <w:sz w:val="22"/>
        </w:rPr>
      </w:r>
    </w:p>
    <w:p>
      <w:pPr>
        <w:pStyle w:val="825"/>
        <w:pBdr/>
        <w:spacing/>
        <w:ind w:firstLine="567" w:left="0"/>
        <w:rPr>
          <w:sz w:val="22"/>
        </w:rPr>
      </w:pPr>
      <w:r>
        <w:rPr>
          <w:sz w:val="22"/>
        </w:rPr>
        <w:t xml:space="preserve">Stavba bude provedena dle platných norem a právních předpisů a nijak negativně neovlivní životní prostředí v přilehlém okolí stavby. </w:t>
      </w:r>
      <w:r>
        <w:rPr>
          <w:sz w:val="22"/>
        </w:rPr>
      </w:r>
    </w:p>
    <w:p>
      <w:pPr>
        <w:pStyle w:val="825"/>
        <w:pBdr/>
        <w:spacing/>
        <w:ind w:left="0"/>
        <w:rPr>
          <w:sz w:val="22"/>
        </w:rPr>
      </w:pPr>
      <w:r>
        <w:rPr>
          <w:sz w:val="22"/>
        </w:rPr>
        <w:tab/>
      </w:r>
      <w:r>
        <w:rPr>
          <w:sz w:val="22"/>
        </w:rPr>
        <w:t xml:space="preserve">Stavební práce produkují do ov</w:t>
      </w:r>
      <w:r>
        <w:rPr>
          <w:sz w:val="22"/>
        </w:rPr>
        <w:t xml:space="preserve">zduší prachové a plynné emise, jejichž vliv na životní prostředí může být vhodnými opatřeními snižován. Mezi primární zdroje znečištění patří výrobny betonových a maltových směsí, manipulace se sypkými materiály, demolice atd. Mezi sekundární zdroje patří </w:t>
      </w:r>
      <w:r>
        <w:rPr>
          <w:sz w:val="22"/>
        </w:rPr>
        <w:t xml:space="preserve">odhumusované</w:t>
      </w:r>
      <w:r>
        <w:rPr>
          <w:sz w:val="22"/>
        </w:rPr>
        <w:t xml:space="preserve"> odkryté plochy, volné skládky, nezpevněné komunikace. Situaci lze řešit vhodným návrhem zařízení staveniště – plným oplocením staveniště, optimálním rozsahem sejmutí ornice, zákazem jízdy vozidel atd. </w:t>
      </w:r>
      <w:r>
        <w:rPr>
          <w:sz w:val="22"/>
        </w:rPr>
      </w:r>
    </w:p>
    <w:p>
      <w:pPr>
        <w:pStyle w:val="825"/>
        <w:pBdr/>
        <w:spacing/>
        <w:ind w:left="0"/>
        <w:rPr>
          <w:sz w:val="22"/>
        </w:rPr>
      </w:pPr>
      <w:r>
        <w:rPr>
          <w:sz w:val="22"/>
        </w:rPr>
        <w:tab/>
      </w:r>
      <w:r>
        <w:rPr>
          <w:sz w:val="22"/>
        </w:rPr>
        <w:t xml:space="preserve">Hlavními zdroji hluku při stavebních pracích jsou stavební stroje. Zvukovou zátěž můžeme eliminovat nasazením strojů s nižší hlučností, použitím zvukově izolačních krytů strojů, stanovení časových limitů s nadměrnou hlučností.  </w:t>
      </w:r>
      <w:r>
        <w:rPr>
          <w:sz w:val="22"/>
        </w:rPr>
      </w:r>
    </w:p>
    <w:p>
      <w:pPr>
        <w:pStyle w:val="825"/>
        <w:pBdr/>
        <w:spacing/>
        <w:ind w:left="0"/>
        <w:rPr>
          <w:sz w:val="22"/>
        </w:rPr>
      </w:pPr>
      <w:r>
        <w:rPr>
          <w:sz w:val="22"/>
        </w:rPr>
        <w:tab/>
      </w:r>
      <w:r>
        <w:rPr>
          <w:sz w:val="22"/>
        </w:rPr>
        <w:t xml:space="preserve">Ochrana půdy může být řešena optimálním návrhem stavebního provozu a zařízení staveniště, na minimalizaci záboru ploch, na zamezení devastace půdy v okolí staveniště apod. </w:t>
      </w:r>
      <w:r>
        <w:rPr>
          <w:sz w:val="22"/>
        </w:rPr>
      </w:r>
    </w:p>
    <w:p>
      <w:pPr>
        <w:pStyle w:val="825"/>
        <w:pBdr/>
        <w:spacing/>
        <w:ind w:left="0"/>
        <w:rPr>
          <w:sz w:val="22"/>
        </w:rPr>
      </w:pPr>
      <w:r>
        <w:rPr>
          <w:sz w:val="22"/>
        </w:rPr>
        <w:tab/>
      </w:r>
      <w:r>
        <w:rPr>
          <w:sz w:val="22"/>
        </w:rPr>
        <w:t xml:space="preserve">Při výstavbě budou respektovány všechny hygienické předpisy, zejména ochrana před hlukem, vibracemi a otřesy a ochrana před prachem. Stavební práce budou probíhat od 7 do 18 hodin. V prů</w:t>
      </w:r>
      <w:r>
        <w:rPr>
          <w:sz w:val="22"/>
        </w:rPr>
        <w:t xml:space="preserve">běhu realizace stavby se předpokládá vznik následujících druhů odpadů – asfaltový obrus, štěrk, zemina, kameny, papírové obaly, dřevo, zbytky řeziva, igelitové obaly. Veškeré odpady budou likvidovány ve smyslu stanovení zákona č. 541/2020 Sb., o odpadech, </w:t>
      </w:r>
      <w:r>
        <w:rPr>
          <w:sz w:val="22"/>
        </w:rPr>
        <w:t xml:space="preserve">vyhl</w:t>
      </w:r>
      <w:r>
        <w:rPr>
          <w:sz w:val="22"/>
        </w:rPr>
        <w:t xml:space="preserve">. č. 93/2016 Sb.</w:t>
      </w:r>
      <w:r>
        <w:rPr>
          <w:sz w:val="22"/>
        </w:rPr>
        <w:t xml:space="preserve"> </w:t>
      </w:r>
      <w:r>
        <w:rPr>
          <w:sz w:val="22"/>
        </w:rPr>
        <w:t xml:space="preserve">a předpisů souvisejících, odvozem na legální skládky a úložiště. </w:t>
      </w:r>
      <w:r>
        <w:rPr>
          <w:sz w:val="22"/>
        </w:rPr>
      </w:r>
    </w:p>
    <w:p>
      <w:pPr>
        <w:pStyle w:val="825"/>
        <w:pBdr/>
        <w:spacing/>
        <w:ind w:left="0"/>
        <w:rPr>
          <w:sz w:val="22"/>
        </w:rPr>
      </w:pPr>
      <w:r>
        <w:rPr>
          <w:sz w:val="22"/>
        </w:rPr>
        <w:tab/>
      </w:r>
      <w:r>
        <w:rPr>
          <w:sz w:val="22"/>
        </w:rPr>
        <w:t xml:space="preserve">Skládku, režim dopravy a dopravní trasu na skládku projedná dodavatel přípravných prací na DI České policie a na příslušném odboru dopravy.</w:t>
      </w:r>
      <w:r>
        <w:rPr>
          <w:sz w:val="22"/>
        </w:rPr>
      </w:r>
    </w:p>
    <w:p>
      <w:pPr>
        <w:pStyle w:val="825"/>
        <w:pBdr/>
        <w:spacing/>
        <w:ind w:left="0"/>
        <w:rPr>
          <w:sz w:val="22"/>
        </w:rPr>
      </w:pPr>
      <w:r>
        <w:rPr>
          <w:sz w:val="22"/>
        </w:rPr>
        <w:tab/>
      </w:r>
      <w:r>
        <w:rPr>
          <w:sz w:val="22"/>
        </w:rPr>
        <w:t xml:space="preserve">Budou navržena ochranná pásma ve smyslu zákona č. 274/2001 Sb. „O vodovodech a kanalizacích“ a zákona 458/2000 Sb. „Energetický zákon“. </w:t>
      </w:r>
      <w:r>
        <w:rPr>
          <w:sz w:val="22"/>
        </w:rPr>
      </w:r>
    </w:p>
    <w:p>
      <w:pPr>
        <w:pStyle w:val="825"/>
        <w:pBdr/>
        <w:spacing/>
        <w:ind w:left="0"/>
        <w:rPr>
          <w:sz w:val="22"/>
        </w:rPr>
      </w:pPr>
      <w:r>
        <w:rPr>
          <w:sz w:val="22"/>
        </w:rPr>
        <w:tab/>
      </w:r>
      <w:r>
        <w:rPr>
          <w:sz w:val="22"/>
        </w:rPr>
        <w:t xml:space="preserve">Navrhovaný záměr svým charakterem respektuje přilehlé okolí a okolní zástavbu řešeného území. Krajinný ráz nebude záměrem ovlivňován.  </w:t>
      </w:r>
      <w:r>
        <w:rPr>
          <w:sz w:val="22"/>
        </w:rPr>
      </w:r>
    </w:p>
    <w:p>
      <w:pPr>
        <w:pStyle w:val="825"/>
        <w:pBdr/>
        <w:spacing/>
        <w:ind w:left="0"/>
        <w:rPr>
          <w:sz w:val="22"/>
        </w:rPr>
      </w:pPr>
      <w:r>
        <w:rPr>
          <w:sz w:val="22"/>
        </w:rPr>
        <w:tab/>
      </w:r>
      <w:r>
        <w:rPr>
          <w:sz w:val="22"/>
        </w:rPr>
        <w:t xml:space="preserve">Ochrana stávající zeleně bude zabezpečena dle ČSN 83 9011 Technologie vegetačních úprav v krajině - Práce s půdou a ČSN 83 9061 Technologie vegetačních úprav v krajině - Ochrana stromů, porostů a ploch pro vegetaci při stavebních pracích.</w:t>
      </w:r>
      <w:r>
        <w:rPr>
          <w:sz w:val="22"/>
        </w:rPr>
      </w:r>
    </w:p>
    <w:p>
      <w:pPr>
        <w:pStyle w:val="825"/>
        <w:pBdr/>
        <w:spacing/>
        <w:ind w:left="0"/>
        <w:rPr>
          <w:sz w:val="22"/>
        </w:rPr>
      </w:pPr>
      <w:r>
        <w:rPr>
          <w:sz w:val="22"/>
        </w:rPr>
        <w:tab/>
        <w:t xml:space="preserve"> </w:t>
      </w:r>
      <w:r>
        <w:rPr>
          <w:sz w:val="22"/>
        </w:rPr>
      </w:r>
    </w:p>
    <w:p>
      <w:pPr>
        <w:pStyle w:val="825"/>
        <w:pBdr/>
        <w:spacing/>
        <w:ind w:left="0"/>
        <w:rPr>
          <w:sz w:val="22"/>
        </w:rPr>
      </w:pPr>
      <w:r>
        <w:rPr>
          <w:sz w:val="22"/>
        </w:rPr>
        <w:t xml:space="preserve">Po svém dokončení bude mít stavba kladný vliv na životní prostředí. Během stavby bude třeba respektovat všechny návrhy na opatření k odstranění nebo minimalizaci negativních účinků na životní prostředí v zájmové oblasti ve smyslu zákona č. 100/2001 Sb.</w:t>
      </w:r>
      <w:r>
        <w:rPr>
          <w:sz w:val="22"/>
        </w:rPr>
      </w:r>
    </w:p>
    <w:p>
      <w:pPr>
        <w:pStyle w:val="825"/>
        <w:pBdr/>
        <w:spacing/>
        <w:ind w:hanging="567" w:left="567"/>
        <w:rPr>
          <w:sz w:val="22"/>
        </w:rPr>
      </w:pPr>
      <w:r>
        <w:rPr>
          <w:sz w:val="22"/>
        </w:rPr>
      </w:r>
      <w:r>
        <w:rPr>
          <w:sz w:val="22"/>
        </w:rPr>
      </w:r>
    </w:p>
    <w:p>
      <w:pPr>
        <w:pStyle w:val="825"/>
        <w:pBdr/>
        <w:spacing/>
        <w:ind w:hanging="567" w:left="567"/>
        <w:rPr>
          <w:sz w:val="22"/>
        </w:rPr>
      </w:pPr>
      <w:r>
        <w:rPr>
          <w:sz w:val="22"/>
        </w:rPr>
        <w:t xml:space="preserve">K zajištění ochrany životního prostředí při výstavbě je nutno respektovat tyto platné zákony:</w:t>
      </w:r>
      <w:r>
        <w:rPr>
          <w:sz w:val="22"/>
        </w:rPr>
      </w:r>
    </w:p>
    <w:p>
      <w:pPr>
        <w:pStyle w:val="825"/>
        <w:pBdr/>
        <w:spacing/>
        <w:ind w:hanging="567" w:left="567"/>
        <w:rPr>
          <w:sz w:val="22"/>
        </w:rPr>
      </w:pPr>
      <w:r>
        <w:rPr>
          <w:sz w:val="22"/>
        </w:rPr>
        <w:t xml:space="preserve">•</w:t>
      </w:r>
      <w:r>
        <w:rPr>
          <w:sz w:val="22"/>
        </w:rPr>
        <w:tab/>
        <w:t xml:space="preserve">Zákon o ochraně přírody a krajiny č. 114/1992 </w:t>
      </w:r>
      <w:r>
        <w:rPr>
          <w:sz w:val="22"/>
        </w:rPr>
        <w:t xml:space="preserve">Sb.,ve</w:t>
      </w:r>
      <w:r>
        <w:rPr>
          <w:sz w:val="22"/>
        </w:rPr>
        <w:t xml:space="preserve"> znění pozdějších předpisů</w:t>
      </w:r>
      <w:r>
        <w:rPr>
          <w:sz w:val="22"/>
        </w:rPr>
      </w:r>
    </w:p>
    <w:p>
      <w:pPr>
        <w:pStyle w:val="825"/>
        <w:pBdr/>
        <w:spacing/>
        <w:ind w:hanging="567" w:left="567"/>
        <w:rPr>
          <w:sz w:val="22"/>
        </w:rPr>
      </w:pPr>
      <w:r>
        <w:rPr>
          <w:sz w:val="22"/>
        </w:rPr>
        <w:t xml:space="preserve">•</w:t>
      </w:r>
      <w:r>
        <w:rPr>
          <w:sz w:val="22"/>
        </w:rPr>
        <w:tab/>
        <w:t xml:space="preserve">Zákon o životním prostředí č. 17/1992 Sb., ve znění zákona 123/1998 Sb.</w:t>
      </w:r>
      <w:r>
        <w:rPr>
          <w:sz w:val="22"/>
        </w:rPr>
      </w:r>
    </w:p>
    <w:p>
      <w:pPr>
        <w:pBdr/>
        <w:tabs>
          <w:tab w:val="left" w:leader="none" w:pos="567"/>
        </w:tabs>
        <w:spacing w:after="0" w:line="276" w:lineRule="auto"/>
        <w:ind/>
        <w:rPr>
          <w:rFonts w:eastAsia="Times New Roman" w:cs="Arial"/>
          <w:color w:val="00000a"/>
          <w:sz w:val="22"/>
          <w:szCs w:val="24"/>
          <w:lang w:eastAsia="cs-CZ"/>
        </w:rPr>
      </w:pPr>
      <w:r>
        <w:rPr>
          <w:rFonts w:eastAsia="Times New Roman" w:cs="Arial"/>
          <w:color w:val="00000a"/>
          <w:sz w:val="22"/>
          <w:szCs w:val="24"/>
          <w:lang w:eastAsia="cs-CZ"/>
        </w:rPr>
        <w:t xml:space="preserve">Odpady, které budou vznikat v rámci jednotlivých staveb, lze rozdělit na odpady, které budou vázány na vlastní výstavbu a odpady, které budou vznikat v zařízení staveniště. </w:t>
      </w:r>
      <w:r>
        <w:rPr>
          <w:rFonts w:eastAsia="Times New Roman" w:cs="Arial"/>
          <w:color w:val="00000a"/>
          <w:sz w:val="22"/>
          <w:szCs w:val="20"/>
          <w:lang w:eastAsia="cs-CZ"/>
        </w:rPr>
        <w:t xml:space="preserve">V rámci stavebních prací vznikne stavební odpad, s nímž bude naloženo ve smyslu zákona č. 541/2020 Sb. Při přejímce stavby zhotovitel díla předá doklady o likvidaci odpadů investorovi, který je předloží při </w:t>
      </w:r>
      <w:r>
        <w:rPr>
          <w:rFonts w:eastAsia="Times New Roman" w:cs="Arial"/>
          <w:color w:val="00000a"/>
          <w:sz w:val="22"/>
          <w:szCs w:val="20"/>
          <w:lang w:eastAsia="cs-CZ"/>
        </w:rPr>
        <w:t xml:space="preserve">kolaudaci díla. Původce odpadu je povinen zařadit vzniklé odpady podle druhů a kategorií stanovených v Katalogu odpadů (Vyhláška MŽP č. 8/2021 Sb., kterou se stanoví Katalog odpadů, Seznam nebezpečných odpadů a seznamy odpadů a států pro účely vývozu atd.)</w:t>
      </w:r>
      <w:r>
        <w:rPr>
          <w:rFonts w:eastAsia="Times New Roman" w:cs="Arial"/>
          <w:color w:val="00000a"/>
          <w:sz w:val="22"/>
          <w:szCs w:val="20"/>
          <w:lang w:eastAsia="cs-CZ"/>
        </w:rPr>
        <w:t xml:space="preserve">.</w:t>
      </w:r>
      <w:r>
        <w:rPr>
          <w:rFonts w:eastAsia="Times New Roman" w:cs="Arial"/>
          <w:color w:val="00000a"/>
          <w:sz w:val="22"/>
          <w:szCs w:val="20"/>
          <w:lang w:eastAsia="cs-CZ"/>
        </w:rPr>
        <w:t xml:space="preserve"> </w:t>
      </w:r>
      <w:r>
        <w:rPr>
          <w:rFonts w:eastAsia="Times New Roman" w:cs="Arial"/>
          <w:color w:val="00000a"/>
          <w:sz w:val="22"/>
          <w:szCs w:val="24"/>
          <w:lang w:eastAsia="cs-CZ"/>
        </w:rPr>
      </w:r>
    </w:p>
    <w:p>
      <w:pPr>
        <w:pBdr/>
        <w:spacing w:after="0" w:line="276" w:lineRule="auto"/>
        <w:ind w:firstLine="567"/>
        <w:rPr>
          <w:rFonts w:eastAsia="Times New Roman" w:cs="Arial"/>
          <w:color w:val="00000a"/>
          <w:sz w:val="22"/>
          <w:szCs w:val="20"/>
          <w:lang w:eastAsia="cs-CZ"/>
        </w:rPr>
      </w:pPr>
      <w:r>
        <w:rPr>
          <w:rFonts w:eastAsia="Times New Roman" w:cs="Arial"/>
          <w:color w:val="00000a"/>
          <w:sz w:val="22"/>
          <w:szCs w:val="20"/>
          <w:lang w:eastAsia="cs-CZ"/>
        </w:rPr>
        <w:t xml:space="preserve">S odpady, které jsou v Katalogu odpadů ozna</w:t>
      </w:r>
      <w:r>
        <w:rPr>
          <w:rFonts w:eastAsia="Times New Roman" w:cs="Arial"/>
          <w:color w:val="00000a"/>
          <w:sz w:val="22"/>
          <w:szCs w:val="20"/>
          <w:lang w:eastAsia="cs-CZ"/>
        </w:rPr>
        <w:t xml:space="preserve">čeny jako nebezpečné, je původce odpadu povinen nakládat jako s odpady nebezpečnými, pokud původce nebo oprávněná osoba k nakládání s odpady neprokáže stanoveným způsobem, že tento odpad nemá nebezpečné vlastnosti vedené v příloze 2 výše uvedeného zákona. </w:t>
      </w:r>
      <w:r>
        <w:rPr>
          <w:rFonts w:eastAsia="Times New Roman" w:cs="Arial"/>
          <w:color w:val="00000a"/>
          <w:sz w:val="22"/>
          <w:szCs w:val="20"/>
          <w:lang w:eastAsia="cs-CZ"/>
        </w:rPr>
      </w:r>
    </w:p>
    <w:p>
      <w:pPr>
        <w:pBdr/>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r>
      <w:r>
        <w:rPr>
          <w:rFonts w:eastAsia="Times New Roman" w:cs="Arial"/>
          <w:color w:val="00000a"/>
          <w:sz w:val="22"/>
          <w:szCs w:val="20"/>
          <w:lang w:eastAsia="cs-CZ"/>
        </w:rPr>
      </w:r>
    </w:p>
    <w:tbl>
      <w:tblPr>
        <w:tblStyle w:val="834"/>
        <w:jc w:val="center"/>
        <w:tblW w:w="8580" w:type="dxa"/>
        <w:tblBorders/>
        <w:tblLook w:val="04A0" w:firstRow="1" w:lastRow="0" w:firstColumn="1" w:lastColumn="0" w:noHBand="0" w:noVBand="1"/>
      </w:tblPr>
      <w:tblGrid>
        <w:gridCol w:w="3687"/>
        <w:gridCol w:w="1246"/>
        <w:gridCol w:w="1139"/>
        <w:gridCol w:w="1446"/>
        <w:gridCol w:w="1062"/>
      </w:tblGrid>
      <w:tr>
        <w:trPr>
          <w:jc w:val="center"/>
          <w:trHeight w:val="600"/>
        </w:trPr>
        <w:tc>
          <w:tcPr>
            <w:tcBorders/>
            <w:tcW w:w="3869" w:type="dxa"/>
            <w:textDirection w:val="lrTb"/>
            <w:noWrap w:val="false"/>
          </w:tcPr>
          <w:p>
            <w:pPr>
              <w:pBdr/>
              <w:spacing w:line="276" w:lineRule="auto"/>
              <w:ind/>
              <w:rPr>
                <w:rFonts w:cs="Arial"/>
                <w:b/>
                <w:bCs/>
                <w:color w:val="000000"/>
                <w:szCs w:val="18"/>
                <w:u w:val="single"/>
              </w:rPr>
            </w:pPr>
            <w:r>
              <w:rPr>
                <w:rFonts w:cs="Arial"/>
                <w:b/>
                <w:bCs/>
                <w:color w:val="000000"/>
                <w:szCs w:val="18"/>
                <w:u w:val="single"/>
              </w:rPr>
              <w:t xml:space="preserve">Název druhu odpadu</w:t>
            </w:r>
            <w:r>
              <w:rPr>
                <w:rFonts w:cs="Arial"/>
                <w:b/>
                <w:bCs/>
                <w:color w:val="000000"/>
                <w:szCs w:val="18"/>
                <w:u w:val="single"/>
              </w:rPr>
            </w:r>
          </w:p>
        </w:tc>
        <w:tc>
          <w:tcPr>
            <w:tcBorders/>
            <w:tcW w:w="1273" w:type="dxa"/>
            <w:textDirection w:val="lrTb"/>
            <w:noWrap w:val="false"/>
          </w:tcPr>
          <w:p>
            <w:pPr>
              <w:pBdr/>
              <w:spacing w:line="276" w:lineRule="auto"/>
              <w:ind/>
              <w:rPr>
                <w:rFonts w:cs="Arial"/>
                <w:b/>
                <w:bCs/>
                <w:color w:val="000000"/>
                <w:szCs w:val="18"/>
                <w:u w:val="single"/>
              </w:rPr>
            </w:pPr>
            <w:r>
              <w:rPr>
                <w:rFonts w:cs="Arial"/>
                <w:b/>
                <w:bCs/>
                <w:color w:val="000000"/>
                <w:szCs w:val="18"/>
                <w:u w:val="single"/>
              </w:rPr>
              <w:t xml:space="preserve">Skupina katalogu</w:t>
            </w:r>
            <w:r>
              <w:rPr>
                <w:rFonts w:cs="Arial"/>
                <w:b/>
                <w:bCs/>
                <w:color w:val="000000"/>
                <w:szCs w:val="18"/>
                <w:u w:val="single"/>
              </w:rPr>
              <w:t xml:space="preserve"> odpadu</w:t>
            </w:r>
            <w:r>
              <w:rPr>
                <w:rFonts w:cs="Arial"/>
                <w:b/>
                <w:bCs/>
                <w:color w:val="000000"/>
                <w:szCs w:val="18"/>
                <w:u w:val="single"/>
              </w:rPr>
            </w:r>
          </w:p>
        </w:tc>
        <w:tc>
          <w:tcPr>
            <w:tcBorders/>
            <w:tcW w:w="929" w:type="dxa"/>
            <w:textDirection w:val="lrTb"/>
            <w:noWrap w:val="false"/>
          </w:tcPr>
          <w:p>
            <w:pPr>
              <w:pBdr/>
              <w:spacing w:line="276" w:lineRule="auto"/>
              <w:ind/>
              <w:rPr>
                <w:rFonts w:cs="Arial"/>
                <w:b/>
                <w:bCs/>
                <w:color w:val="000000"/>
                <w:szCs w:val="18"/>
                <w:u w:val="single"/>
              </w:rPr>
            </w:pPr>
            <w:r>
              <w:rPr>
                <w:rFonts w:cs="Arial"/>
                <w:b/>
                <w:bCs/>
                <w:color w:val="000000"/>
                <w:szCs w:val="18"/>
                <w:u w:val="single"/>
              </w:rPr>
              <w:t xml:space="preserve">Kategorie odpadu</w:t>
            </w:r>
            <w:r>
              <w:rPr>
                <w:rFonts w:cs="Arial"/>
                <w:b/>
                <w:bCs/>
                <w:color w:val="000000"/>
                <w:szCs w:val="18"/>
                <w:u w:val="single"/>
              </w:rPr>
            </w:r>
          </w:p>
        </w:tc>
        <w:tc>
          <w:tcPr>
            <w:tcBorders/>
            <w:tcW w:w="1448" w:type="dxa"/>
            <w:textDirection w:val="lrTb"/>
            <w:noWrap w:val="false"/>
          </w:tcPr>
          <w:p>
            <w:pPr>
              <w:pBdr/>
              <w:spacing w:line="276" w:lineRule="auto"/>
              <w:ind/>
              <w:rPr>
                <w:rFonts w:cs="Arial"/>
                <w:b/>
                <w:bCs/>
                <w:color w:val="000000"/>
                <w:szCs w:val="18"/>
                <w:u w:val="single"/>
              </w:rPr>
            </w:pPr>
            <w:r>
              <w:rPr>
                <w:rFonts w:cs="Arial"/>
                <w:b/>
                <w:bCs/>
                <w:color w:val="000000"/>
                <w:szCs w:val="18"/>
                <w:u w:val="single"/>
              </w:rPr>
              <w:t xml:space="preserve">Odhadované množství</w:t>
            </w:r>
            <w:r>
              <w:rPr>
                <w:rFonts w:cs="Arial"/>
                <w:b/>
                <w:bCs/>
                <w:color w:val="000000"/>
                <w:szCs w:val="18"/>
                <w:u w:val="single"/>
              </w:rPr>
            </w:r>
          </w:p>
        </w:tc>
        <w:tc>
          <w:tcPr>
            <w:tcBorders/>
            <w:tcW w:w="1061" w:type="dxa"/>
            <w:textDirection w:val="lrTb"/>
            <w:noWrap w:val="false"/>
          </w:tcPr>
          <w:p>
            <w:pPr>
              <w:pBdr/>
              <w:spacing w:line="276" w:lineRule="auto"/>
              <w:ind/>
              <w:rPr>
                <w:rFonts w:cs="Arial"/>
                <w:b/>
                <w:bCs/>
                <w:color w:val="000000"/>
                <w:szCs w:val="18"/>
                <w:u w:val="single"/>
              </w:rPr>
            </w:pPr>
            <w:r>
              <w:rPr>
                <w:rFonts w:cs="Arial"/>
                <w:b/>
                <w:bCs/>
                <w:color w:val="000000"/>
                <w:szCs w:val="18"/>
                <w:u w:val="single"/>
              </w:rPr>
              <w:t xml:space="preserve">Druh likvidace</w:t>
            </w:r>
            <w:r>
              <w:rPr>
                <w:rFonts w:cs="Arial"/>
                <w:b/>
                <w:bCs/>
                <w:color w:val="000000"/>
                <w:szCs w:val="18"/>
                <w:u w:val="single"/>
              </w:rPr>
            </w:r>
          </w:p>
        </w:tc>
      </w:tr>
      <w:tr>
        <w:trPr>
          <w:jc w:val="center"/>
          <w:trHeight w:val="600"/>
        </w:trPr>
        <w:tc>
          <w:tcPr>
            <w:tcBorders/>
            <w:tcW w:w="3869" w:type="dxa"/>
            <w:textDirection w:val="lrTb"/>
            <w:noWrap w:val="false"/>
          </w:tcPr>
          <w:p>
            <w:pPr>
              <w:pBdr/>
              <w:spacing w:line="276" w:lineRule="auto"/>
              <w:ind/>
              <w:jc w:val="center"/>
              <w:rPr>
                <w:rFonts w:cs="Arial"/>
                <w:b/>
                <w:bCs/>
                <w:color w:val="000000"/>
                <w:szCs w:val="18"/>
              </w:rPr>
            </w:pPr>
            <w:r>
              <w:rPr>
                <w:rFonts w:cs="Arial"/>
                <w:b/>
                <w:bCs/>
                <w:color w:val="000000"/>
                <w:szCs w:val="18"/>
              </w:rPr>
              <w:t xml:space="preserve">STAVEBNÍ A DEMOLIČNÍ ODPADY (VČETNĚ VYTĚŽENÉ ZEMINY Z KONTAMINOVANÝCH MÍST)</w:t>
            </w:r>
            <w:r>
              <w:rPr>
                <w:rFonts w:cs="Arial"/>
                <w:b/>
                <w:bCs/>
                <w:color w:val="000000"/>
                <w:szCs w:val="18"/>
              </w:rPr>
            </w:r>
          </w:p>
        </w:tc>
        <w:tc>
          <w:tcPr>
            <w:tcBorders/>
            <w:tcW w:w="1273" w:type="dxa"/>
            <w:textDirection w:val="lrTb"/>
            <w:noWrap w:val="false"/>
          </w:tcPr>
          <w:p>
            <w:pPr>
              <w:pBdr/>
              <w:spacing w:line="276" w:lineRule="auto"/>
              <w:ind/>
              <w:jc w:val="center"/>
              <w:rPr>
                <w:rFonts w:cs="Arial"/>
                <w:b/>
                <w:bCs/>
                <w:color w:val="000000"/>
                <w:szCs w:val="18"/>
              </w:rPr>
            </w:pPr>
            <w:r>
              <w:rPr>
                <w:rFonts w:cs="Arial"/>
                <w:b/>
                <w:bCs/>
                <w:color w:val="000000"/>
                <w:szCs w:val="18"/>
              </w:rPr>
              <w:t xml:space="preserve">17</w:t>
            </w:r>
            <w:r>
              <w:rPr>
                <w:rFonts w:cs="Arial"/>
                <w:b/>
                <w:bCs/>
                <w:color w:val="000000"/>
                <w:szCs w:val="18"/>
              </w:rPr>
            </w:r>
          </w:p>
        </w:tc>
        <w:tc>
          <w:tcPr>
            <w:tcBorders/>
            <w:tcW w:w="929" w:type="dxa"/>
            <w:textDirection w:val="lrTb"/>
            <w:noWrap w:val="false"/>
          </w:tcPr>
          <w:p>
            <w:pPr>
              <w:pBdr/>
              <w:spacing w:line="276" w:lineRule="auto"/>
              <w:ind/>
              <w:jc w:val="center"/>
              <w:rPr>
                <w:rFonts w:cs="Arial"/>
                <w:b/>
                <w:bCs/>
                <w:color w:val="000000"/>
                <w:szCs w:val="18"/>
              </w:rPr>
            </w:pPr>
            <w:r>
              <w:rPr>
                <w:rFonts w:cs="Arial"/>
                <w:b/>
                <w:bCs/>
                <w:color w:val="000000"/>
                <w:szCs w:val="18"/>
              </w:rPr>
              <w:t xml:space="preserve">O/N</w:t>
            </w:r>
            <w:r>
              <w:rPr>
                <w:rFonts w:cs="Arial"/>
                <w:b/>
                <w:bCs/>
                <w:color w:val="000000"/>
                <w:szCs w:val="18"/>
              </w:rPr>
            </w:r>
          </w:p>
        </w:tc>
        <w:tc>
          <w:tcPr>
            <w:tcBorders/>
            <w:tcW w:w="1448" w:type="dxa"/>
            <w:textDirection w:val="lrTb"/>
            <w:noWrap w:val="false"/>
          </w:tcPr>
          <w:p>
            <w:pPr>
              <w:pBdr/>
              <w:spacing w:line="276" w:lineRule="auto"/>
              <w:ind/>
              <w:jc w:val="center"/>
              <w:rPr>
                <w:rFonts w:cs="Arial"/>
                <w:b/>
                <w:bCs/>
                <w:color w:val="000000"/>
                <w:szCs w:val="18"/>
              </w:rPr>
            </w:pPr>
            <w:r>
              <w:rPr>
                <w:rFonts w:cs="Arial"/>
                <w:b/>
                <w:bCs/>
                <w:color w:val="000000"/>
                <w:szCs w:val="18"/>
              </w:rPr>
              <w:t xml:space="preserve"> (t)</w:t>
            </w:r>
            <w:r>
              <w:rPr>
                <w:rFonts w:cs="Arial"/>
                <w:b/>
                <w:bCs/>
                <w:color w:val="000000"/>
                <w:szCs w:val="18"/>
              </w:rPr>
            </w:r>
          </w:p>
        </w:tc>
        <w:tc>
          <w:tcPr>
            <w:tcBorders/>
            <w:tcW w:w="1061" w:type="dxa"/>
            <w:textDirection w:val="lrTb"/>
            <w:noWrap w:val="false"/>
          </w:tcPr>
          <w:p>
            <w:pPr>
              <w:pBdr/>
              <w:spacing w:line="276" w:lineRule="auto"/>
              <w:ind/>
              <w:jc w:val="center"/>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Beton, cihly, tašky a keramika</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17 01</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Beton</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17 01 01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2</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Cihly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17 01 02</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Tašky a keramické výrobky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17 01 03</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Směsi nebo oddělené frakce betonu, cihel, tašek a keramických výrobků obsahující nebezpečné látky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01 06*</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0,25</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799"/>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Směsi nebo oddělené frakce betonu, cihel, tašek a keramických výrobků neuvedené pod číslem 17 01 06</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17 01 07</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Dřevo, sklo a plasty</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17 02</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Dřevo</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17 02 01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2</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Sklo</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17 02 02</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Plasty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17 02 03</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1,5</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Sklo, plasty a dřevo obsahující nebezpečné látky nebo nebezpečnými látkami znečištěné</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02 04*</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Asfaltové směsi, dehet a výrobky z dehtu</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17 03</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Asfaltové směsi obsahující dehet</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03 01*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Asfaltové směsi neuvedené pod číslem 17 03 01</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17 03 02</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1</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Uhelný dehet a výrobky z dehtu</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03 03*</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Kovy (včetně jejich slitin)</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17 04</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Měď, bronz, mosaz</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Hliník</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17 04 02</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Olovo</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17 04 03</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Zinek</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17 04 04</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Železo a ocel</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17 04 05</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0,1</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Cín</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17 04 06</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Směsné kovy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17 04 07</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Kovový odpad znečištěný nebezpečnými látkami</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09*</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Kabely obsahující ropné látky, uhelný dehet a jiné nebezpečné látky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10*</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Kabely neuvedené pod číslem 17 04 10</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17 04 11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R</w:t>
            </w:r>
            <w:r>
              <w:rPr>
                <w:rFonts w:cs="Arial"/>
                <w:color w:val="000000"/>
                <w:szCs w:val="18"/>
              </w:rPr>
            </w:r>
          </w:p>
        </w:tc>
      </w:tr>
      <w:tr>
        <w:trPr>
          <w:jc w:val="center"/>
          <w:trHeight w:val="799"/>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Zemina (včetně vytěžené zeminy z kontaminovaných míst), kamení, vytěžená jalová hornina a hlušina</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17 05</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Zemina a kamení obsahující nebezpečné látky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05 03*</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Zemina a kamení neuvedené pod číslem 17 05 03</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17 05 04</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340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Vytěžená jalová hornina a hlušina obsahující nebezpečné látky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05 05*</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Vytěžená jalová hornina a hlušina neuvedená pod číslem 17 05 05</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17 05 06</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500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Štěrk ze železničního svršku obsahující nebezpečné látky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05 07*</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Štěrk ze železničního svršku neuvedený pod číslem 17 05 07</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17 05 08</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Izolační materiály a stavební materiály s obsahem azbestu</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17 06</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Izolační materiál s obsahem azbestu</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06 01*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Jiné izolační materiály, které jsou nebo obsahují nebezpečné látky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06 03*</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Izolační materiály neuvedené pod čísly 17 06 01 a 17 06 03</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17 06 04</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0,05</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Stavební materiály obsahující azbest</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06 05*</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Stavební materiál na bázi sádry</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17 08</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Stavební materiály na bázi sádry znečištěné nebezpečnými látkami</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08 01*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Stavební materiály na bázi sádry neuvedené pod číslem 17 08 01</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17 08 02</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b/>
                <w:bCs/>
                <w:color w:val="000000"/>
                <w:szCs w:val="18"/>
              </w:rPr>
            </w:pPr>
            <w:r>
              <w:rPr>
                <w:rFonts w:cs="Arial"/>
                <w:b/>
                <w:bCs/>
                <w:color w:val="000000"/>
                <w:szCs w:val="18"/>
              </w:rPr>
              <w:t xml:space="preserve">Jiné stavební a demoliční odpady</w:t>
            </w:r>
            <w:r>
              <w:rPr>
                <w:rFonts w:cs="Arial"/>
                <w:b/>
                <w:bCs/>
                <w:color w:val="000000"/>
                <w:szCs w:val="18"/>
              </w:rPr>
            </w:r>
          </w:p>
        </w:tc>
        <w:tc>
          <w:tcPr>
            <w:tcBorders/>
            <w:tcW w:w="1273" w:type="dxa"/>
            <w:textDirection w:val="lrTb"/>
            <w:noWrap w:val="false"/>
          </w:tcPr>
          <w:p>
            <w:pPr>
              <w:pBdr/>
              <w:spacing w:line="276" w:lineRule="auto"/>
              <w:ind/>
              <w:rPr>
                <w:rFonts w:cs="Arial"/>
                <w:b/>
                <w:bCs/>
                <w:color w:val="000000"/>
                <w:szCs w:val="18"/>
              </w:rPr>
            </w:pPr>
            <w:r>
              <w:rPr>
                <w:rFonts w:cs="Arial"/>
                <w:b/>
                <w:bCs/>
                <w:color w:val="000000"/>
                <w:szCs w:val="18"/>
              </w:rPr>
              <w:t xml:space="preserve">17 09</w:t>
            </w:r>
            <w:r>
              <w:rPr>
                <w:rFonts w:cs="Arial"/>
                <w:b/>
                <w:bCs/>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448"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 </w:t>
            </w:r>
            <w:r>
              <w:rPr>
                <w:rFonts w:cs="Arial"/>
                <w:color w:val="000000"/>
                <w:szCs w:val="18"/>
              </w:rPr>
            </w:r>
          </w:p>
        </w:tc>
      </w:tr>
      <w:tr>
        <w:trPr>
          <w:jc w:val="center"/>
          <w:trHeight w:val="4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Stavební a demoliční odpady obsahující rtuť</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09 01*</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1002"/>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Stavební a demoliční odpady obsahující PCB (např. těsnící materiály obsahující PCB, podlahoviny na bázi pryskyřic obsahující PCB, utěsněné zasklené dílce obsahující PCB, kondenzátory obsahující PCB)</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09 02*</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799"/>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Jiné stavební a demoliční odpady (včetně směsných stavebních a demoličních odpadů) obsahující nebezpečné látky</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09 03*</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N</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r>
      <w:tr>
        <w:trPr>
          <w:jc w:val="center"/>
          <w:trHeight w:val="6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Směsné stavební a demoliční odpady neuvedené pod čísly 17 09 01, 17 09 02 a 17 09 03</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17 09 04</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t xml:space="preserve">O</w:t>
            </w:r>
            <w:r>
              <w:rPr>
                <w:rFonts w:cs="Arial"/>
                <w:color w:val="000000"/>
                <w:szCs w:val="18"/>
              </w:rPr>
            </w:r>
          </w:p>
        </w:tc>
        <w:tc>
          <w:tcPr>
            <w:tcBorders/>
            <w:tcW w:w="1448" w:type="dxa"/>
            <w:textDirection w:val="lrTb"/>
            <w:noWrap w:val="false"/>
          </w:tcPr>
          <w:p>
            <w:pPr>
              <w:pBdr/>
              <w:spacing w:line="276" w:lineRule="auto"/>
              <w:ind/>
              <w:jc w:val="right"/>
              <w:rPr>
                <w:rFonts w:cs="Arial"/>
                <w:color w:val="000000"/>
                <w:szCs w:val="18"/>
              </w:rPr>
            </w:pPr>
            <w:r>
              <w:rPr>
                <w:rFonts w:cs="Arial"/>
                <w:color w:val="000000"/>
                <w:szCs w:val="18"/>
              </w:rPr>
              <w:t xml:space="preserve">10</w:t>
            </w:r>
            <w:r>
              <w:rPr>
                <w:rFonts w:cs="Arial"/>
                <w:color w:val="000000"/>
                <w:szCs w:val="18"/>
              </w:rPr>
            </w:r>
          </w:p>
        </w:tc>
        <w:tc>
          <w:tcPr>
            <w:tcBorders/>
            <w:tcW w:w="1061"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r>
      <w:tr>
        <w:trPr>
          <w:jc w:val="center"/>
          <w:trHeight w:val="300"/>
        </w:trPr>
        <w:tc>
          <w:tcPr>
            <w:tcBorders/>
            <w:tcW w:w="3869" w:type="dxa"/>
            <w:textDirection w:val="lrTb"/>
            <w:noWrap w:val="false"/>
          </w:tcPr>
          <w:p>
            <w:pPr>
              <w:pBdr/>
              <w:spacing w:line="276" w:lineRule="auto"/>
              <w:ind/>
              <w:rPr>
                <w:rFonts w:cs="Arial"/>
                <w:b/>
                <w:bCs/>
                <w:i/>
                <w:iCs/>
                <w:color w:val="000000"/>
                <w:szCs w:val="18"/>
              </w:rPr>
            </w:pPr>
            <w:r>
              <w:rPr>
                <w:rFonts w:cs="Arial"/>
                <w:b/>
                <w:bCs/>
                <w:i/>
                <w:iCs/>
                <w:color w:val="000000"/>
                <w:szCs w:val="18"/>
              </w:rPr>
            </w:r>
            <w:r>
              <w:rPr>
                <w:rFonts w:cs="Arial"/>
                <w:b/>
                <w:bCs/>
                <w:i/>
                <w:iCs/>
                <w:color w:val="000000"/>
                <w:szCs w:val="18"/>
              </w:rPr>
            </w:r>
          </w:p>
          <w:p>
            <w:pPr>
              <w:pBdr/>
              <w:spacing w:line="276" w:lineRule="auto"/>
              <w:ind/>
              <w:rPr>
                <w:rFonts w:cs="Arial"/>
                <w:b/>
                <w:bCs/>
                <w:i/>
                <w:iCs/>
                <w:color w:val="000000"/>
                <w:szCs w:val="18"/>
              </w:rPr>
            </w:pPr>
            <w:r>
              <w:rPr>
                <w:rFonts w:cs="Arial"/>
                <w:b/>
                <w:bCs/>
                <w:i/>
                <w:iCs/>
                <w:color w:val="000000"/>
                <w:szCs w:val="18"/>
              </w:rPr>
              <w:t xml:space="preserve">*pozn. Množství odpadu není striktně závazné, je orientační. </w:t>
            </w:r>
            <w:r>
              <w:rPr>
                <w:rFonts w:cs="Arial"/>
                <w:b/>
                <w:bCs/>
                <w:i/>
                <w:iCs/>
                <w:color w:val="000000"/>
                <w:szCs w:val="18"/>
              </w:rPr>
            </w:r>
          </w:p>
        </w:tc>
        <w:tc>
          <w:tcPr>
            <w:tcBorders/>
            <w:tcW w:w="1273" w:type="dxa"/>
            <w:textDirection w:val="lrTb"/>
            <w:noWrap w:val="false"/>
          </w:tcPr>
          <w:p>
            <w:pPr>
              <w:pBdr/>
              <w:spacing w:line="276" w:lineRule="auto"/>
              <w:ind/>
              <w:rPr>
                <w:rFonts w:cs="Arial"/>
                <w:b/>
                <w:bCs/>
                <w:i/>
                <w:iCs/>
                <w:color w:val="000000"/>
                <w:szCs w:val="18"/>
              </w:rPr>
            </w:pPr>
            <w:r>
              <w:rPr>
                <w:rFonts w:cs="Arial"/>
                <w:b/>
                <w:bCs/>
                <w:i/>
                <w:iCs/>
                <w:color w:val="000000"/>
                <w:szCs w:val="18"/>
              </w:rPr>
            </w:r>
            <w:r>
              <w:rPr>
                <w:rFonts w:cs="Arial"/>
                <w:b/>
                <w:bCs/>
                <w:i/>
                <w:iCs/>
                <w:color w:val="000000"/>
                <w:szCs w:val="18"/>
              </w:rPr>
            </w:r>
          </w:p>
        </w:tc>
        <w:tc>
          <w:tcPr>
            <w:tcBorders/>
            <w:tcW w:w="929" w:type="dxa"/>
            <w:textDirection w:val="lrTb"/>
            <w:noWrap w:val="false"/>
          </w:tcPr>
          <w:p>
            <w:pPr>
              <w:pBdr/>
              <w:spacing w:line="276" w:lineRule="auto"/>
              <w:ind/>
              <w:rPr>
                <w:rFonts w:cs="Arial"/>
              </w:rPr>
            </w:pPr>
            <w:r>
              <w:rPr>
                <w:rFonts w:cs="Arial"/>
              </w:rPr>
            </w:r>
            <w:r>
              <w:rPr>
                <w:rFonts w:cs="Arial"/>
              </w:rPr>
            </w:r>
          </w:p>
        </w:tc>
        <w:tc>
          <w:tcPr>
            <w:tcBorders/>
            <w:tcW w:w="1448" w:type="dxa"/>
            <w:textDirection w:val="lrTb"/>
            <w:noWrap w:val="false"/>
          </w:tcPr>
          <w:p>
            <w:pPr>
              <w:pBdr/>
              <w:spacing w:line="276" w:lineRule="auto"/>
              <w:ind/>
              <w:rPr>
                <w:rFonts w:cs="Arial"/>
              </w:rPr>
            </w:pPr>
            <w:r>
              <w:rPr>
                <w:rFonts w:cs="Arial"/>
              </w:rPr>
            </w:r>
            <w:r>
              <w:rPr>
                <w:rFonts w:cs="Arial"/>
              </w:rPr>
            </w:r>
          </w:p>
        </w:tc>
        <w:tc>
          <w:tcPr>
            <w:tcBorders/>
            <w:tcW w:w="1061" w:type="dxa"/>
            <w:textDirection w:val="lrTb"/>
            <w:noWrap w:val="false"/>
          </w:tcPr>
          <w:p>
            <w:pPr>
              <w:pBdr/>
              <w:spacing w:line="276" w:lineRule="auto"/>
              <w:ind/>
              <w:rPr>
                <w:rFonts w:cs="Arial"/>
              </w:rPr>
            </w:pPr>
            <w:r>
              <w:rPr>
                <w:rFonts w:cs="Arial"/>
              </w:rPr>
            </w:r>
            <w:r>
              <w:rPr>
                <w:rFonts w:cs="Arial"/>
              </w:rPr>
            </w:r>
          </w:p>
        </w:tc>
      </w:tr>
      <w:tr>
        <w:trPr>
          <w:jc w:val="center"/>
          <w:trHeight w:val="300"/>
        </w:trPr>
        <w:tc>
          <w:tcPr>
            <w:gridSpan w:val="5"/>
            <w:tcBorders/>
            <w:tcW w:w="8580" w:type="dxa"/>
            <w:textDirection w:val="lrTb"/>
            <w:noWrap w:val="false"/>
          </w:tcPr>
          <w:p>
            <w:pPr>
              <w:pBdr/>
              <w:spacing w:line="276" w:lineRule="auto"/>
              <w:ind/>
              <w:rPr>
                <w:rFonts w:cs="Arial"/>
                <w:color w:val="000000"/>
                <w:szCs w:val="18"/>
              </w:rPr>
            </w:pPr>
            <w:r>
              <w:rPr>
                <w:rFonts w:cs="Arial"/>
                <w:color w:val="000000"/>
                <w:szCs w:val="18"/>
              </w:rPr>
              <w:t xml:space="preserve">Kategorie odpadu - O – ostatní odpad; N – nebezpečný odpad</w:t>
            </w:r>
            <w:r>
              <w:rPr>
                <w:rFonts w:cs="Arial"/>
                <w:color w:val="000000"/>
                <w:szCs w:val="18"/>
              </w:rPr>
            </w:r>
          </w:p>
        </w:tc>
      </w:tr>
      <w:tr>
        <w:trPr>
          <w:jc w:val="center"/>
          <w:trHeight w:val="3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Skládka</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S</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r>
            <w:r>
              <w:rPr>
                <w:rFonts w:cs="Arial"/>
                <w:color w:val="000000"/>
                <w:szCs w:val="18"/>
              </w:rPr>
            </w:r>
          </w:p>
        </w:tc>
        <w:tc>
          <w:tcPr>
            <w:tcBorders/>
            <w:tcW w:w="1448" w:type="dxa"/>
            <w:textDirection w:val="lrTb"/>
            <w:noWrap w:val="false"/>
          </w:tcPr>
          <w:p>
            <w:pPr>
              <w:pBdr/>
              <w:spacing w:line="276" w:lineRule="auto"/>
              <w:ind/>
              <w:rPr>
                <w:rFonts w:cs="Arial"/>
              </w:rPr>
            </w:pPr>
            <w:r>
              <w:rPr>
                <w:rFonts w:cs="Arial"/>
              </w:rPr>
            </w:r>
            <w:r>
              <w:rPr>
                <w:rFonts w:cs="Arial"/>
              </w:rPr>
            </w:r>
          </w:p>
        </w:tc>
        <w:tc>
          <w:tcPr>
            <w:tcBorders/>
            <w:tcW w:w="1061" w:type="dxa"/>
            <w:textDirection w:val="lrTb"/>
            <w:noWrap w:val="false"/>
          </w:tcPr>
          <w:p>
            <w:pPr>
              <w:pBdr/>
              <w:spacing w:line="276" w:lineRule="auto"/>
              <w:ind/>
              <w:rPr>
                <w:rFonts w:cs="Arial"/>
              </w:rPr>
            </w:pPr>
            <w:r>
              <w:rPr>
                <w:rFonts w:cs="Arial"/>
              </w:rPr>
            </w:r>
            <w:r>
              <w:rPr>
                <w:rFonts w:cs="Arial"/>
              </w:rPr>
            </w:r>
          </w:p>
        </w:tc>
      </w:tr>
      <w:tr>
        <w:trPr>
          <w:jc w:val="center"/>
          <w:trHeight w:val="3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Skládka nebezpečného odpadu</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SN</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r>
            <w:r>
              <w:rPr>
                <w:rFonts w:cs="Arial"/>
                <w:color w:val="000000"/>
                <w:szCs w:val="18"/>
              </w:rPr>
            </w:r>
          </w:p>
        </w:tc>
        <w:tc>
          <w:tcPr>
            <w:tcBorders/>
            <w:tcW w:w="1448" w:type="dxa"/>
            <w:textDirection w:val="lrTb"/>
            <w:noWrap w:val="false"/>
          </w:tcPr>
          <w:p>
            <w:pPr>
              <w:pBdr/>
              <w:spacing w:line="276" w:lineRule="auto"/>
              <w:ind/>
              <w:rPr>
                <w:rFonts w:cs="Arial"/>
              </w:rPr>
            </w:pPr>
            <w:r>
              <w:rPr>
                <w:rFonts w:cs="Arial"/>
              </w:rPr>
            </w:r>
            <w:r>
              <w:rPr>
                <w:rFonts w:cs="Arial"/>
              </w:rPr>
            </w:r>
          </w:p>
        </w:tc>
        <w:tc>
          <w:tcPr>
            <w:tcBorders/>
            <w:tcW w:w="1061" w:type="dxa"/>
            <w:textDirection w:val="lrTb"/>
            <w:noWrap w:val="false"/>
          </w:tcPr>
          <w:p>
            <w:pPr>
              <w:pBdr/>
              <w:spacing w:line="276" w:lineRule="auto"/>
              <w:ind/>
              <w:rPr>
                <w:rFonts w:cs="Arial"/>
              </w:rPr>
            </w:pPr>
            <w:r>
              <w:rPr>
                <w:rFonts w:cs="Arial"/>
              </w:rPr>
            </w:r>
            <w:r>
              <w:rPr>
                <w:rFonts w:cs="Arial"/>
              </w:rPr>
            </w:r>
          </w:p>
        </w:tc>
      </w:tr>
      <w:tr>
        <w:trPr>
          <w:jc w:val="center"/>
          <w:trHeight w:val="300"/>
        </w:trPr>
        <w:tc>
          <w:tcPr>
            <w:tcBorders/>
            <w:tcW w:w="3869" w:type="dxa"/>
            <w:textDirection w:val="lrTb"/>
            <w:noWrap w:val="false"/>
          </w:tcPr>
          <w:p>
            <w:pPr>
              <w:pBdr/>
              <w:spacing w:line="276" w:lineRule="auto"/>
              <w:ind/>
              <w:rPr>
                <w:rFonts w:cs="Arial"/>
                <w:color w:val="000000"/>
                <w:szCs w:val="18"/>
              </w:rPr>
            </w:pPr>
            <w:r>
              <w:rPr>
                <w:rFonts w:cs="Arial"/>
                <w:color w:val="000000"/>
                <w:szCs w:val="18"/>
              </w:rPr>
              <w:t xml:space="preserve">Recyklace, kovošrot atd.</w:t>
            </w:r>
            <w:r>
              <w:rPr>
                <w:rFonts w:cs="Arial"/>
                <w:color w:val="000000"/>
                <w:szCs w:val="18"/>
              </w:rPr>
            </w:r>
          </w:p>
        </w:tc>
        <w:tc>
          <w:tcPr>
            <w:tcBorders/>
            <w:tcW w:w="1273" w:type="dxa"/>
            <w:textDirection w:val="lrTb"/>
            <w:noWrap w:val="false"/>
          </w:tcPr>
          <w:p>
            <w:pPr>
              <w:pBdr/>
              <w:spacing w:line="276" w:lineRule="auto"/>
              <w:ind/>
              <w:rPr>
                <w:rFonts w:cs="Arial"/>
                <w:color w:val="000000"/>
                <w:szCs w:val="18"/>
              </w:rPr>
            </w:pPr>
            <w:r>
              <w:rPr>
                <w:rFonts w:cs="Arial"/>
                <w:color w:val="000000"/>
                <w:szCs w:val="18"/>
              </w:rPr>
              <w:t xml:space="preserve">R </w:t>
            </w:r>
            <w:r>
              <w:rPr>
                <w:rFonts w:cs="Arial"/>
                <w:color w:val="000000"/>
                <w:szCs w:val="18"/>
              </w:rPr>
            </w:r>
          </w:p>
        </w:tc>
        <w:tc>
          <w:tcPr>
            <w:tcBorders/>
            <w:tcW w:w="929" w:type="dxa"/>
            <w:textDirection w:val="lrTb"/>
            <w:noWrap w:val="false"/>
          </w:tcPr>
          <w:p>
            <w:pPr>
              <w:pBdr/>
              <w:spacing w:line="276" w:lineRule="auto"/>
              <w:ind/>
              <w:rPr>
                <w:rFonts w:cs="Arial"/>
                <w:color w:val="000000"/>
                <w:szCs w:val="18"/>
              </w:rPr>
            </w:pPr>
            <w:r>
              <w:rPr>
                <w:rFonts w:cs="Arial"/>
                <w:color w:val="000000"/>
                <w:szCs w:val="18"/>
              </w:rPr>
            </w:r>
            <w:r>
              <w:rPr>
                <w:rFonts w:cs="Arial"/>
                <w:color w:val="000000"/>
                <w:szCs w:val="18"/>
              </w:rPr>
            </w:r>
          </w:p>
        </w:tc>
        <w:tc>
          <w:tcPr>
            <w:tcBorders/>
            <w:tcW w:w="1448" w:type="dxa"/>
            <w:textDirection w:val="lrTb"/>
            <w:noWrap w:val="false"/>
          </w:tcPr>
          <w:p>
            <w:pPr>
              <w:pBdr/>
              <w:spacing w:line="276" w:lineRule="auto"/>
              <w:ind/>
              <w:rPr>
                <w:rFonts w:cs="Arial"/>
              </w:rPr>
            </w:pPr>
            <w:r>
              <w:rPr>
                <w:rFonts w:cs="Arial"/>
              </w:rPr>
            </w:r>
            <w:r>
              <w:rPr>
                <w:rFonts w:cs="Arial"/>
              </w:rPr>
            </w:r>
          </w:p>
        </w:tc>
        <w:tc>
          <w:tcPr>
            <w:tcBorders/>
            <w:tcW w:w="1061" w:type="dxa"/>
            <w:textDirection w:val="lrTb"/>
            <w:noWrap w:val="false"/>
          </w:tcPr>
          <w:p>
            <w:pPr>
              <w:pBdr/>
              <w:spacing w:line="276" w:lineRule="auto"/>
              <w:ind/>
              <w:rPr>
                <w:rFonts w:cs="Arial"/>
              </w:rPr>
            </w:pPr>
            <w:r>
              <w:rPr>
                <w:rFonts w:cs="Arial"/>
              </w:rPr>
            </w:r>
            <w:r>
              <w:rPr>
                <w:rFonts w:cs="Arial"/>
              </w:rPr>
            </w:r>
          </w:p>
        </w:tc>
      </w:tr>
    </w:tbl>
    <w:p>
      <w:pPr>
        <w:pBdr/>
        <w:tabs>
          <w:tab w:val="left" w:leader="none" w:pos="567"/>
        </w:tabs>
        <w:spacing w:after="0" w:line="276" w:lineRule="auto"/>
        <w:ind/>
        <w:rPr>
          <w:rFonts w:eastAsia="Times New Roman" w:cs="Arial"/>
          <w:color w:val="00000a"/>
          <w:sz w:val="22"/>
          <w:szCs w:val="24"/>
          <w:lang w:eastAsia="cs-CZ"/>
        </w:rPr>
      </w:pPr>
      <w:r>
        <w:rPr>
          <w:rFonts w:eastAsia="Times New Roman" w:cs="Arial"/>
          <w:color w:val="00000a"/>
          <w:sz w:val="22"/>
          <w:szCs w:val="24"/>
          <w:lang w:eastAsia="cs-CZ"/>
        </w:rPr>
        <w:tab/>
      </w:r>
      <w:r>
        <w:rPr>
          <w:rFonts w:eastAsia="Times New Roman" w:cs="Arial"/>
          <w:color w:val="00000a"/>
          <w:sz w:val="22"/>
          <w:szCs w:val="24"/>
          <w:lang w:eastAsia="cs-CZ"/>
        </w:rPr>
      </w:r>
    </w:p>
    <w:p>
      <w:pPr>
        <w:pBdr/>
        <w:spacing/>
        <w:ind w:firstLine="360"/>
        <w:rPr>
          <w:sz w:val="22"/>
        </w:rPr>
      </w:pPr>
      <w:r>
        <w:rPr>
          <w:sz w:val="22"/>
        </w:rPr>
        <w:t xml:space="preserve">Po dokončení</w:t>
      </w:r>
      <w:r>
        <w:rPr>
          <w:sz w:val="22"/>
        </w:rPr>
        <w:t xml:space="preserve"> stavby nebude stavba produko</w:t>
      </w:r>
      <w:r>
        <w:rPr>
          <w:sz w:val="22"/>
        </w:rPr>
        <w:t xml:space="preserve">vat žádné škodlivé látky do ovzduší a nebude jej nijak ovlivňovat. Hluk ze strojní technologie bude zajištěn okolními vnějšími stěnami s izolacemi. Veškeré odpady je zhotovitel povinen zlikvidovat po jejich vzniku postupem stanoveným v platné legislativě. </w:t>
      </w:r>
      <w:r>
        <w:rPr>
          <w:sz w:val="22"/>
        </w:rPr>
      </w:r>
    </w:p>
    <w:p>
      <w:pPr>
        <w:pBdr/>
        <w:spacing/>
        <w:ind w:firstLine="360"/>
        <w:rPr>
          <w:sz w:val="22"/>
        </w:rPr>
      </w:pPr>
      <w:r>
        <w:rPr>
          <w:sz w:val="22"/>
        </w:rPr>
        <w:t xml:space="preserve">Zemina nevhodná k využití vlastníkem, tj. zemina s nevyhovujícími technickými vlastnostmi, obsahující nepřípustné škodliviny nebo přebytečná zemina, bude nabídnuta přednostně k využití oprávněným osobám (podle zákona o odpadech).</w:t>
      </w:r>
      <w:r>
        <w:rPr>
          <w:sz w:val="22"/>
        </w:rPr>
      </w:r>
    </w:p>
    <w:p>
      <w:pPr>
        <w:pBdr/>
        <w:spacing/>
        <w:ind w:firstLine="360"/>
        <w:rPr>
          <w:sz w:val="22"/>
        </w:rPr>
      </w:pPr>
      <w:r>
        <w:rPr>
          <w:sz w:val="22"/>
        </w:rPr>
        <w:t xml:space="preserve">Stavba nebude mít nepříznivý vliv na životní prostředí a krajinu. Dojde pouze ke kácení a vymýcení</w:t>
      </w:r>
      <w:r>
        <w:rPr>
          <w:sz w:val="22"/>
        </w:rPr>
        <w:t xml:space="preserve"> náletových dřevin habru </w:t>
      </w:r>
      <w:r>
        <w:rPr>
          <w:sz w:val="22"/>
        </w:rPr>
        <w:t xml:space="preserve">v místech </w:t>
      </w:r>
      <w:r>
        <w:rPr>
          <w:sz w:val="22"/>
        </w:rPr>
        <w:t xml:space="preserve">stavby</w:t>
      </w:r>
      <w:r>
        <w:rPr>
          <w:sz w:val="22"/>
        </w:rPr>
        <w:t xml:space="preserve">. Památné stromy se v lokalitě nevyskytují. Stavební úpravy se zabývají pouze dotčenými stavbami a jejím nejbližším okolím, tudíž negativní dopad na vnější okolí během výstavby jsou velmi omezeny. </w:t>
      </w:r>
      <w:r>
        <w:rPr>
          <w:sz w:val="22"/>
        </w:rPr>
      </w:r>
    </w:p>
    <w:p>
      <w:pPr>
        <w:pBdr/>
        <w:spacing/>
        <w:ind w:firstLine="360"/>
        <w:rPr>
          <w:sz w:val="22"/>
        </w:rPr>
      </w:pPr>
      <w:r>
        <w:rPr>
          <w:sz w:val="22"/>
        </w:rPr>
        <w:t xml:space="preserve">Lze vyloučit významný vliv na evropsky významné lokality nebo ptačí oblasti stanovené příslušnými vládními nařízeními</w:t>
      </w:r>
      <w:r>
        <w:rPr>
          <w:sz w:val="22"/>
        </w:rPr>
      </w:r>
    </w:p>
    <w:p>
      <w:pPr>
        <w:pStyle w:val="825"/>
        <w:pBdr/>
        <w:spacing/>
        <w:ind/>
        <w:rPr/>
      </w:pPr>
      <w:r/>
      <w:r/>
    </w:p>
    <w:p>
      <w:pPr>
        <w:pStyle w:val="825"/>
        <w:numPr>
          <w:ilvl w:val="0"/>
          <w:numId w:val="3"/>
        </w:numPr>
        <w:pBdr/>
        <w:spacing/>
        <w:ind/>
        <w:outlineLvl w:val="0"/>
        <w:rPr>
          <w:b/>
          <w:sz w:val="24"/>
        </w:rPr>
      </w:pPr>
      <w:r/>
      <w:bookmarkStart w:id="14" w:name="_Toc195565200"/>
      <w:r>
        <w:rPr>
          <w:b/>
          <w:sz w:val="24"/>
        </w:rPr>
        <w:t xml:space="preserve">Celkové vodohospodářské řešení</w:t>
      </w:r>
      <w:bookmarkEnd w:id="14"/>
      <w:r/>
      <w:r>
        <w:rPr>
          <w:b/>
          <w:sz w:val="24"/>
        </w:rPr>
      </w:r>
    </w:p>
    <w:p>
      <w:pPr>
        <w:pStyle w:val="825"/>
        <w:pBdr/>
        <w:spacing/>
        <w:ind w:hanging="567" w:left="567"/>
        <w:rPr>
          <w:b/>
          <w:sz w:val="22"/>
          <w:u w:val="single"/>
        </w:rPr>
      </w:pPr>
      <w:r>
        <w:rPr>
          <w:b/>
          <w:sz w:val="22"/>
          <w:u w:val="single"/>
        </w:rPr>
        <w:t xml:space="preserve">Zásobování vodou</w:t>
      </w:r>
      <w:r>
        <w:rPr>
          <w:b/>
          <w:sz w:val="22"/>
          <w:u w:val="single"/>
        </w:rPr>
      </w:r>
    </w:p>
    <w:p>
      <w:pPr>
        <w:pStyle w:val="825"/>
        <w:pBdr/>
        <w:spacing/>
        <w:ind w:firstLine="567" w:left="0"/>
        <w:rPr>
          <w:sz w:val="22"/>
        </w:rPr>
      </w:pPr>
      <w:r>
        <w:rPr>
          <w:sz w:val="22"/>
        </w:rPr>
        <w:t xml:space="preserve">Zdroj vody pro stavbu bude v předstihu řešen zhotovitelem s investorem a provozovatelem. </w:t>
      </w:r>
      <w:r>
        <w:rPr>
          <w:sz w:val="22"/>
        </w:rPr>
      </w:r>
    </w:p>
    <w:p>
      <w:pPr>
        <w:pStyle w:val="825"/>
        <w:pBdr/>
        <w:spacing/>
        <w:ind w:firstLine="567" w:left="0"/>
        <w:rPr>
          <w:b/>
          <w:sz w:val="22"/>
        </w:rPr>
      </w:pPr>
      <w:r>
        <w:rPr>
          <w:b/>
          <w:sz w:val="22"/>
        </w:rPr>
      </w:r>
      <w:r>
        <w:rPr>
          <w:b/>
          <w:sz w:val="22"/>
        </w:rPr>
      </w:r>
    </w:p>
    <w:p>
      <w:pPr>
        <w:pStyle w:val="825"/>
        <w:pBdr/>
        <w:spacing/>
        <w:ind w:hanging="567" w:left="567"/>
        <w:rPr>
          <w:b/>
          <w:sz w:val="22"/>
          <w:u w:val="single"/>
        </w:rPr>
      </w:pPr>
      <w:r>
        <w:rPr>
          <w:b/>
          <w:sz w:val="22"/>
          <w:u w:val="single"/>
        </w:rPr>
        <w:t xml:space="preserve">Splaškové a dešťové vody</w:t>
      </w:r>
      <w:r>
        <w:rPr>
          <w:b/>
          <w:sz w:val="22"/>
          <w:u w:val="single"/>
        </w:rPr>
      </w:r>
    </w:p>
    <w:p>
      <w:pPr>
        <w:pStyle w:val="825"/>
        <w:pBdr/>
        <w:spacing/>
        <w:ind w:firstLine="567" w:left="0"/>
        <w:rPr>
          <w:b/>
          <w:sz w:val="22"/>
        </w:rPr>
      </w:pPr>
      <w:r>
        <w:rPr>
          <w:sz w:val="22"/>
        </w:rPr>
        <w:t xml:space="preserve">Odpadní voda ze stavby může vzniknout zcela výjimečně, pokud vznikne, předpokládá se její likvidace v souladu s platnou legislativou. V období výstavby nebudou vznikat splaškové odpadní vody. V zařízeních staveniště budou instalována mobilní WC. </w:t>
      </w:r>
      <w:r>
        <w:rPr>
          <w:b/>
          <w:sz w:val="22"/>
        </w:rPr>
      </w:r>
    </w:p>
    <w:p>
      <w:pPr>
        <w:pStyle w:val="825"/>
        <w:pBdr/>
        <w:spacing/>
        <w:ind w:firstLine="567" w:left="0"/>
        <w:rPr>
          <w:sz w:val="22"/>
        </w:rPr>
      </w:pPr>
      <w:r>
        <w:rPr>
          <w:sz w:val="22"/>
        </w:rPr>
        <w:t xml:space="preserve">V případě výskytu podzemní vody ve výkopu bude tato voda během stavebních prací čerpána na přilehlý terén, kde se bude vsakovat či odtékat do recipientu. </w:t>
      </w:r>
      <w:r>
        <w:rPr>
          <w:sz w:val="22"/>
        </w:rPr>
      </w:r>
    </w:p>
    <w:p>
      <w:pPr>
        <w:pStyle w:val="825"/>
        <w:pBdr/>
        <w:spacing/>
        <w:ind w:firstLine="567" w:left="0"/>
        <w:rPr>
          <w:sz w:val="22"/>
        </w:rPr>
      </w:pPr>
      <w:r>
        <w:rPr>
          <w:sz w:val="22"/>
        </w:rPr>
      </w:r>
      <w:r>
        <w:rPr>
          <w:sz w:val="22"/>
        </w:rPr>
      </w:r>
    </w:p>
    <w:p>
      <w:pPr>
        <w:pStyle w:val="825"/>
        <w:numPr>
          <w:ilvl w:val="0"/>
          <w:numId w:val="3"/>
        </w:numPr>
        <w:pBdr/>
        <w:spacing/>
        <w:ind/>
        <w:outlineLvl w:val="0"/>
        <w:rPr>
          <w:b/>
          <w:sz w:val="24"/>
          <w:szCs w:val="24"/>
        </w:rPr>
      </w:pPr>
      <w:r/>
      <w:bookmarkStart w:id="15" w:name="_Toc195565201"/>
      <w:r>
        <w:rPr>
          <w:b/>
          <w:sz w:val="24"/>
          <w:szCs w:val="24"/>
        </w:rPr>
        <w:t xml:space="preserve">Ochrana obyvatelstva</w:t>
      </w:r>
      <w:bookmarkEnd w:id="15"/>
      <w:r/>
      <w:r>
        <w:rPr>
          <w:b/>
          <w:sz w:val="24"/>
          <w:szCs w:val="24"/>
        </w:rPr>
      </w:r>
    </w:p>
    <w:p>
      <w:pPr>
        <w:pBdr/>
        <w:spacing/>
        <w:ind/>
        <w:rPr>
          <w:sz w:val="22"/>
        </w:rPr>
      </w:pPr>
      <w:r>
        <w:rPr>
          <w:sz w:val="22"/>
        </w:rPr>
        <w:tab/>
        <w:t xml:space="preserve">Ochr</w:t>
      </w:r>
      <w:r>
        <w:rPr>
          <w:sz w:val="22"/>
        </w:rPr>
        <w:t xml:space="preserve">anu obyvatelstva ve významu vyhlášky Ministerstva vnitra č. 380/2002 Sb., k přípravě a provádění úkolů ochrany obyvatelstva (§ 22, odst. 1., písm. a) až d)) není nutno v tomto projektu řešit. Inženýrský objekt vodojemu nepředstavuje žádné riziko z hlediska</w:t>
      </w:r>
      <w:r>
        <w:rPr>
          <w:sz w:val="22"/>
        </w:rPr>
        <w:t xml:space="preserve"> civilní ochrany obyvatelstva. </w:t>
      </w:r>
      <w:r>
        <w:rPr>
          <w:sz w:val="22"/>
        </w:rPr>
        <w:t xml:space="preserve">Během stavby je nutno zabezpečit případné výkopy řádným pažením a zábranami (výstražné pásky, cedule, apod.) Toto zabezpečení bude navrženo zhotovitelem. </w:t>
      </w:r>
      <w:r>
        <w:rPr>
          <w:sz w:val="22"/>
        </w:rPr>
      </w:r>
    </w:p>
    <w:p>
      <w:pPr>
        <w:pBdr/>
        <w:spacing/>
        <w:ind/>
        <w:rPr>
          <w:sz w:val="22"/>
        </w:rPr>
      </w:pPr>
      <w:r>
        <w:rPr>
          <w:sz w:val="22"/>
        </w:rPr>
        <w:t xml:space="preserve">Na stav</w:t>
      </w:r>
      <w:r>
        <w:rPr>
          <w:sz w:val="22"/>
        </w:rPr>
        <w:t xml:space="preserve">bě mohou pracovat jen pracovníci vyučení nebo alespoň částečně zaučení v daném oboru. Všichni pracovníci musí být proškoleni v rámci bezpečnostní práce, vybavení ochrannými prostředky a pomůckami pro své zaměstnance. </w:t>
      </w:r>
      <w:r>
        <w:rPr>
          <w:sz w:val="22"/>
        </w:rPr>
      </w:r>
    </w:p>
    <w:p>
      <w:pPr>
        <w:pBdr/>
        <w:spacing/>
        <w:ind/>
        <w:rPr>
          <w:sz w:val="22"/>
        </w:rPr>
      </w:pPr>
      <w:r>
        <w:rPr>
          <w:sz w:val="22"/>
        </w:rPr>
        <w:t xml:space="preserve">Dále je třeba splnit Stavebně technické požadavky na stavby civilní ochrany a stavby dotčené požadavky civilní ochrany dle Vyhlášky MV 380/2002 §22 </w:t>
      </w:r>
      <w:r>
        <w:rPr>
          <w:sz w:val="22"/>
        </w:rPr>
        <w:t xml:space="preserve">odst.1 písm.</w:t>
      </w:r>
      <w:r>
        <w:rPr>
          <w:sz w:val="22"/>
        </w:rPr>
        <w:t xml:space="preserve"> a - d, které zahrnují:</w:t>
      </w:r>
      <w:r>
        <w:rPr>
          <w:sz w:val="22"/>
        </w:rPr>
      </w:r>
    </w:p>
    <w:p>
      <w:pPr>
        <w:pBdr/>
        <w:spacing/>
        <w:ind/>
        <w:rPr>
          <w:sz w:val="22"/>
        </w:rPr>
      </w:pPr>
      <w:r>
        <w:rPr>
          <w:sz w:val="22"/>
        </w:rPr>
        <w:t xml:space="preserve">a) stálé úkryty – netýká se,</w:t>
      </w:r>
      <w:r>
        <w:rPr>
          <w:sz w:val="22"/>
        </w:rPr>
      </w:r>
    </w:p>
    <w:p>
      <w:pPr>
        <w:pBdr/>
        <w:spacing/>
        <w:ind/>
        <w:rPr>
          <w:sz w:val="22"/>
        </w:rPr>
      </w:pPr>
      <w:r>
        <w:rPr>
          <w:sz w:val="22"/>
        </w:rPr>
        <w:t xml:space="preserve">b) ochranné systémy podzemních dopravních staveb – netýká se,</w:t>
      </w:r>
      <w:r>
        <w:rPr>
          <w:sz w:val="22"/>
        </w:rPr>
      </w:r>
    </w:p>
    <w:p>
      <w:pPr>
        <w:pBdr/>
        <w:spacing/>
        <w:ind/>
        <w:rPr>
          <w:sz w:val="22"/>
        </w:rPr>
      </w:pPr>
      <w:r>
        <w:rPr>
          <w:sz w:val="22"/>
        </w:rPr>
        <w:t xml:space="preserve">c) stavby financované s využitím prostředků státního rozpočtu, stavby škol a školských zařízení, ubytovny a stavby pro poskytování zdravotní nebo sociální péče z hlediska jejich využitelnosti jako improvizované úkryty – netýká se,</w:t>
      </w:r>
      <w:r>
        <w:rPr>
          <w:sz w:val="22"/>
        </w:rPr>
      </w:r>
    </w:p>
    <w:p>
      <w:pPr>
        <w:pBdr/>
        <w:spacing/>
        <w:ind/>
        <w:rPr/>
      </w:pPr>
      <w:r>
        <w:rPr>
          <w:sz w:val="22"/>
        </w:rPr>
        <w:t xml:space="preserve">d) stavby pro průmyslovou výrobu a skladování – netýká se.</w:t>
      </w:r>
      <w:r/>
    </w:p>
    <w:p>
      <w:pPr>
        <w:pStyle w:val="825"/>
        <w:pBdr/>
        <w:spacing/>
        <w:ind/>
        <w:rPr>
          <w:sz w:val="22"/>
        </w:rPr>
      </w:pPr>
      <w:r>
        <w:rPr>
          <w:sz w:val="22"/>
        </w:rPr>
      </w:r>
      <w:r>
        <w:rPr>
          <w:sz w:val="22"/>
        </w:rPr>
      </w:r>
    </w:p>
    <w:p>
      <w:pPr>
        <w:pStyle w:val="825"/>
        <w:numPr>
          <w:ilvl w:val="0"/>
          <w:numId w:val="3"/>
        </w:numPr>
        <w:pBdr/>
        <w:spacing/>
        <w:ind/>
        <w:outlineLvl w:val="0"/>
        <w:rPr>
          <w:b/>
          <w:sz w:val="24"/>
          <w:szCs w:val="24"/>
        </w:rPr>
      </w:pPr>
      <w:r/>
      <w:bookmarkStart w:id="16" w:name="_Toc195565202"/>
      <w:r>
        <w:rPr>
          <w:b/>
          <w:sz w:val="24"/>
          <w:szCs w:val="24"/>
        </w:rPr>
        <w:t xml:space="preserve">Zásady organizace výstavby</w:t>
      </w:r>
      <w:bookmarkEnd w:id="16"/>
      <w:r/>
      <w:r>
        <w:rPr>
          <w:b/>
          <w:sz w:val="24"/>
          <w:szCs w:val="24"/>
        </w:rPr>
      </w:r>
    </w:p>
    <w:p>
      <w:pPr>
        <w:pStyle w:val="825"/>
        <w:pBdr/>
        <w:spacing/>
        <w:ind w:left="360"/>
        <w:outlineLvl w:val="0"/>
        <w:rPr>
          <w:b/>
          <w:sz w:val="24"/>
          <w:szCs w:val="24"/>
        </w:rPr>
      </w:pPr>
      <w:r>
        <w:rPr>
          <w:b/>
          <w:sz w:val="24"/>
          <w:szCs w:val="24"/>
        </w:rPr>
      </w:r>
      <w:r>
        <w:rPr>
          <w:b/>
          <w:sz w:val="24"/>
          <w:szCs w:val="24"/>
        </w:rPr>
      </w:r>
    </w:p>
    <w:p>
      <w:pPr>
        <w:pStyle w:val="825"/>
        <w:numPr>
          <w:ilvl w:val="0"/>
          <w:numId w:val="21"/>
        </w:numPr>
        <w:pBdr/>
        <w:spacing/>
        <w:ind w:hanging="567" w:left="567"/>
        <w:rPr>
          <w:sz w:val="22"/>
          <w:u w:val="single"/>
        </w:rPr>
      </w:pPr>
      <w:r>
        <w:rPr>
          <w:sz w:val="22"/>
          <w:u w:val="single"/>
        </w:rPr>
        <w:t xml:space="preserve">napojení staveniště na stávající dopravní a technickou infrastrukturu,</w:t>
      </w:r>
      <w:r>
        <w:rPr>
          <w:sz w:val="22"/>
          <w:u w:val="single"/>
        </w:rPr>
      </w:r>
    </w:p>
    <w:p>
      <w:pPr>
        <w:pStyle w:val="825"/>
        <w:pBdr/>
        <w:spacing/>
        <w:ind w:firstLine="567" w:left="0"/>
        <w:rPr>
          <w:sz w:val="22"/>
        </w:rPr>
      </w:pPr>
      <w:r>
        <w:rPr>
          <w:sz w:val="22"/>
        </w:rPr>
        <w:t xml:space="preserve">Tato projektová dokumentace neklade nárok na dopravní řešení. </w:t>
      </w:r>
      <w:r>
        <w:rPr>
          <w:sz w:val="22"/>
        </w:rPr>
      </w:r>
    </w:p>
    <w:p>
      <w:pPr>
        <w:pBdr/>
        <w:spacing/>
        <w:ind w:firstLine="360"/>
        <w:rPr>
          <w:sz w:val="22"/>
        </w:rPr>
      </w:pPr>
      <w:r>
        <w:rPr>
          <w:sz w:val="22"/>
        </w:rPr>
        <w:t xml:space="preserve">Nově navržené stavební objekty budou napojeny na stávající technickou infrastrukturu v areálu ČOV. </w:t>
      </w:r>
      <w:r>
        <w:rPr>
          <w:sz w:val="22"/>
        </w:rPr>
      </w:r>
    </w:p>
    <w:p>
      <w:pPr>
        <w:pBdr/>
        <w:spacing/>
        <w:ind w:firstLine="360"/>
        <w:rPr>
          <w:sz w:val="22"/>
        </w:rPr>
      </w:pPr>
      <w:r>
        <w:rPr>
          <w:sz w:val="22"/>
        </w:rPr>
        <w:t xml:space="preserve">Součástí této dokumentace je dokumentace stavebních elektroinstalací v objektu SO 01 – </w:t>
      </w:r>
      <w:r>
        <w:rPr>
          <w:sz w:val="22"/>
        </w:rPr>
        <w:t xml:space="preserve">Kalolisovna</w:t>
      </w:r>
      <w:r>
        <w:rPr>
          <w:sz w:val="22"/>
        </w:rPr>
        <w:t xml:space="preserve"> a SO 02 – Nová budova ČOV. Součástí je i protokol o určení vnějších vlivů. Elektro část je řešena v příslušné příloze této dokumentace. </w:t>
      </w:r>
      <w:r>
        <w:rPr>
          <w:sz w:val="22"/>
        </w:rPr>
      </w:r>
    </w:p>
    <w:p>
      <w:pPr>
        <w:pBdr/>
        <w:spacing/>
        <w:ind w:firstLine="360"/>
        <w:rPr>
          <w:sz w:val="22"/>
        </w:rPr>
      </w:pPr>
      <w:r>
        <w:rPr>
          <w:b/>
          <w:sz w:val="22"/>
        </w:rPr>
        <w:t xml:space="preserve">Dopravní obslužnost</w:t>
      </w:r>
      <w:r>
        <w:rPr>
          <w:sz w:val="22"/>
        </w:rPr>
        <w:t xml:space="preserve"> během výstavby </w:t>
      </w:r>
      <w:r>
        <w:rPr>
          <w:sz w:val="22"/>
        </w:rPr>
        <w:t xml:space="preserve">a následnému provozu bude zajištěna po stávajících veřejných místních komunikacích a po stávající přístupové cestě k objektu. Příjezd do areálu ČOV zůstane stávající po stávající cestě, která navazuje na stávající asfaltovou cestu vedoucí z obce Třebotov. </w:t>
      </w:r>
      <w:r>
        <w:rPr>
          <w:sz w:val="22"/>
        </w:rPr>
      </w:r>
    </w:p>
    <w:p>
      <w:pPr>
        <w:pBdr/>
        <w:spacing/>
        <w:ind w:firstLine="360"/>
        <w:rPr>
          <w:sz w:val="22"/>
        </w:rPr>
      </w:pPr>
      <w:r>
        <w:rPr>
          <w:b/>
          <w:sz w:val="22"/>
        </w:rPr>
        <w:t xml:space="preserve">Elektrická energie</w:t>
      </w:r>
      <w:r>
        <w:rPr>
          <w:sz w:val="22"/>
        </w:rPr>
        <w:t xml:space="preserve"> bude odebírána ze stávající elektro přípojky NN, která bude po dobu výstavby zachována. </w:t>
      </w:r>
      <w:r>
        <w:rPr>
          <w:sz w:val="22"/>
        </w:rPr>
        <w:t xml:space="preserve">V průběhu výstavby bude potřeba elektrické energie pro provádění</w:t>
      </w:r>
      <w:r>
        <w:rPr>
          <w:sz w:val="22"/>
        </w:rPr>
        <w:t xml:space="preserve"> stavby</w:t>
      </w:r>
      <w:r>
        <w:rPr>
          <w:sz w:val="22"/>
        </w:rPr>
        <w:t xml:space="preserve">. V době provozu vzniknou nároky na elektrickou energii pro chod </w:t>
      </w:r>
      <w:r>
        <w:rPr>
          <w:sz w:val="22"/>
        </w:rPr>
        <w:t xml:space="preserve">technologie</w:t>
      </w:r>
      <w:r>
        <w:rPr>
          <w:sz w:val="22"/>
        </w:rPr>
        <w:t xml:space="preserve">, osvětlení objektu v čase obsluhy a pro zajištění přenosu stavů radiovým signálem. </w:t>
      </w:r>
      <w:r>
        <w:rPr>
          <w:sz w:val="22"/>
        </w:rPr>
      </w:r>
    </w:p>
    <w:p>
      <w:pPr>
        <w:pBdr/>
        <w:spacing/>
        <w:ind w:firstLine="360"/>
        <w:rPr>
          <w:sz w:val="22"/>
        </w:rPr>
      </w:pPr>
      <w:r>
        <w:rPr>
          <w:b/>
          <w:sz w:val="22"/>
        </w:rPr>
        <w:t xml:space="preserve">Technologické vystrojení</w:t>
      </w:r>
      <w:r>
        <w:rPr>
          <w:sz w:val="22"/>
        </w:rPr>
        <w:t xml:space="preserve"> bude navazovat na stávající řešení.</w:t>
      </w:r>
      <w:r>
        <w:rPr>
          <w:sz w:val="22"/>
        </w:rPr>
      </w:r>
    </w:p>
    <w:p>
      <w:pPr>
        <w:pBdr/>
        <w:spacing/>
        <w:ind w:firstLine="360"/>
        <w:rPr>
          <w:sz w:val="22"/>
        </w:rPr>
      </w:pPr>
      <w:r>
        <w:rPr>
          <w:sz w:val="22"/>
        </w:rPr>
        <w:t xml:space="preserve">Při stavebních pracích nebudou vznikat žádné splaškové odpadní vody. V zařízeních staveniště budou instalována mobilní WC. </w:t>
      </w:r>
      <w:r>
        <w:rPr>
          <w:sz w:val="22"/>
        </w:rPr>
      </w:r>
    </w:p>
    <w:p>
      <w:pPr>
        <w:pBdr/>
        <w:spacing/>
        <w:ind w:firstLine="360"/>
        <w:rPr>
          <w:sz w:val="22"/>
        </w:rPr>
      </w:pPr>
      <w:r>
        <w:rPr>
          <w:sz w:val="22"/>
        </w:rPr>
        <w:t xml:space="preserve">Po instalaci potřebného vybavení na přenosy dat bude zajištěna informační a telekomunikační síť. </w:t>
      </w:r>
      <w:r>
        <w:rPr>
          <w:sz w:val="22"/>
        </w:rPr>
      </w:r>
    </w:p>
    <w:p>
      <w:pPr>
        <w:pBdr/>
        <w:spacing/>
        <w:ind w:firstLine="360"/>
        <w:rPr>
          <w:sz w:val="22"/>
        </w:rPr>
      </w:pPr>
      <w:r>
        <w:rPr>
          <w:sz w:val="22"/>
        </w:rPr>
        <w:t xml:space="preserve">Odvodnění staveniště bude v kompetenci zhotovitele. </w:t>
      </w:r>
      <w:r>
        <w:rPr>
          <w:sz w:val="22"/>
        </w:rPr>
      </w:r>
    </w:p>
    <w:p>
      <w:pPr>
        <w:pBdr/>
        <w:spacing/>
        <w:ind/>
        <w:rPr>
          <w:b/>
          <w:sz w:val="22"/>
          <w:u w:val="single"/>
        </w:rPr>
      </w:pPr>
      <w:r>
        <w:rPr>
          <w:b/>
          <w:sz w:val="22"/>
          <w:u w:val="single"/>
        </w:rPr>
        <w:t xml:space="preserve">Potřeby a spotřeby rozhodujících médií a jejich zajištění</w:t>
      </w:r>
      <w:r>
        <w:rPr>
          <w:b/>
          <w:sz w:val="22"/>
          <w:u w:val="single"/>
        </w:rPr>
      </w:r>
    </w:p>
    <w:p>
      <w:pPr>
        <w:pBdr/>
        <w:spacing/>
        <w:ind w:firstLine="567"/>
        <w:rPr>
          <w:sz w:val="22"/>
        </w:rPr>
      </w:pPr>
      <w:r>
        <w:rPr>
          <w:sz w:val="22"/>
        </w:rPr>
        <w:t xml:space="preserve">Pro stavbu budou využívány klasické st</w:t>
      </w:r>
      <w:r>
        <w:rPr>
          <w:sz w:val="22"/>
        </w:rPr>
        <w:t xml:space="preserve">avební materiály, jako betony příslušných tříd, cihelně tvárnicové zdivo, dřevo, pálená krytina, sanační malty, nerezové kotevní materiály, drcený pískovec. Dále pak kompozitní plastové prvky. Na izolace budou použity materiály jako živice, tavený čedič a </w:t>
      </w:r>
      <w:r>
        <w:rPr>
          <w:sz w:val="22"/>
        </w:rPr>
        <w:t xml:space="preserve">pěnosklo</w:t>
      </w:r>
      <w:r>
        <w:rPr>
          <w:sz w:val="22"/>
        </w:rPr>
        <w:t xml:space="preserve">. Vystrojení bude nerezové, potrubí odvětrání bude z materiálu PVC a nerezové oceli a odpadní potrubí bude z materiálu </w:t>
      </w:r>
      <w:r>
        <w:rPr>
          <w:sz w:val="22"/>
        </w:rPr>
        <w:t xml:space="preserve">plastové</w:t>
      </w:r>
      <w:r>
        <w:rPr>
          <w:sz w:val="22"/>
        </w:rPr>
        <w:t xml:space="preserve">. Pro provedení násypů bude nutné přivézt vhodnou zeminu pro zásyp. Veškeré stavební materiály budou dovezeny po příjezdové cestě do </w:t>
      </w:r>
      <w:r>
        <w:rPr>
          <w:sz w:val="22"/>
        </w:rPr>
        <w:t xml:space="preserve">do</w:t>
      </w:r>
      <w:r>
        <w:rPr>
          <w:sz w:val="22"/>
        </w:rPr>
        <w:t xml:space="preserve"> areálu ČOV.</w:t>
      </w:r>
      <w:r>
        <w:rPr>
          <w:sz w:val="22"/>
        </w:rPr>
        <w:t xml:space="preserve"> </w:t>
      </w:r>
      <w:r>
        <w:rPr>
          <w:sz w:val="22"/>
        </w:rPr>
      </w:r>
    </w:p>
    <w:p>
      <w:pPr>
        <w:pStyle w:val="825"/>
        <w:pBdr/>
        <w:spacing/>
        <w:ind w:firstLine="567" w:left="0"/>
        <w:rPr>
          <w:i/>
          <w:sz w:val="22"/>
        </w:rPr>
      </w:pPr>
      <w:r>
        <w:rPr>
          <w:i/>
          <w:sz w:val="22"/>
        </w:rPr>
        <w:t xml:space="preserve">Pozn. : Ve</w:t>
      </w:r>
      <w:r>
        <w:rPr>
          <w:i/>
          <w:sz w:val="22"/>
        </w:rPr>
        <w:t xml:space="preserve"> smyslu zákona č.137/2006 a vyhlášky č. 230/2012, kterou se stanoví rozsah zadávací dokumentace stavby, je nutno vzít zřetel na následující upozornění: Pokud je v t</w:t>
      </w:r>
      <w:r>
        <w:rPr>
          <w:i/>
          <w:sz w:val="22"/>
        </w:rPr>
        <w:t xml:space="preserve">éto projektové dokumentaci uveden typ výrobku, výrobce nebo dodavatel, v žádném případě to neznamená, že do projektované stavby musí být zabudován výhradně tento popisovaný výrobek od uvedeného výrobce či dodavatele. V projektu uvedený popis výrobků pouze </w:t>
      </w:r>
      <w:r>
        <w:rPr>
          <w:i/>
          <w:sz w:val="22"/>
        </w:rPr>
        <w:t xml:space="preserve">dokumentuje rozsah technických parametrů, limitů, vlastnosti popř. minimální kvalitativní nebo estetický standard výrobku, který má být k danému účelu a v daném místě použit. Všechny popisy je proto třeba chápat ve smyslu ´´ například výrobek XY´´ nebo ´´</w:t>
      </w:r>
      <w:r>
        <w:rPr>
          <w:i/>
          <w:sz w:val="22"/>
        </w:rPr>
        <w:t xml:space="preserve"> minimálně ve standardu výrobku XY´´. Při použití jiného výrobku musí tento splňovat všechny technické, ale i další kvalitativní parametry jako výrobek, který je zde uveden jako srovnávací standard. Toto upozornění platí pro celou projektovou dokumentaci, </w:t>
      </w:r>
      <w:r>
        <w:rPr>
          <w:i/>
          <w:sz w:val="22"/>
        </w:rPr>
        <w:t xml:space="preserve">tzn.pro</w:t>
      </w:r>
      <w:r>
        <w:rPr>
          <w:i/>
          <w:sz w:val="22"/>
        </w:rPr>
        <w:t xml:space="preserve"> technickou zprávu, textové přílohy, výkresy a výkaz výměr.</w:t>
      </w:r>
      <w:r>
        <w:rPr>
          <w:i/>
          <w:sz w:val="22"/>
        </w:rPr>
      </w:r>
    </w:p>
    <w:p>
      <w:pPr>
        <w:pStyle w:val="825"/>
        <w:pBdr/>
        <w:spacing/>
        <w:ind w:firstLine="567" w:left="0"/>
        <w:rPr>
          <w:sz w:val="22"/>
        </w:rPr>
      </w:pPr>
      <w:r>
        <w:rPr>
          <w:sz w:val="22"/>
        </w:rPr>
      </w:r>
      <w:r>
        <w:rPr>
          <w:sz w:val="22"/>
        </w:rPr>
      </w:r>
    </w:p>
    <w:p>
      <w:pPr>
        <w:pStyle w:val="825"/>
        <w:numPr>
          <w:ilvl w:val="0"/>
          <w:numId w:val="21"/>
        </w:numPr>
        <w:pBdr/>
        <w:spacing/>
        <w:ind w:hanging="567" w:left="567"/>
        <w:rPr>
          <w:sz w:val="22"/>
          <w:u w:val="single"/>
        </w:rPr>
      </w:pPr>
      <w:r>
        <w:rPr>
          <w:sz w:val="22"/>
          <w:u w:val="single"/>
        </w:rPr>
        <w:t xml:space="preserve">ochrana okolí staveniště a požadavky na související asanace, demolice, demontáž, dekonstrukce a kácení dřevin apod.,</w:t>
      </w:r>
      <w:r>
        <w:rPr>
          <w:sz w:val="22"/>
          <w:u w:val="single"/>
        </w:rPr>
      </w:r>
    </w:p>
    <w:p>
      <w:pPr>
        <w:pBdr/>
        <w:spacing w:after="0"/>
        <w:ind w:firstLine="567"/>
        <w:rPr>
          <w:sz w:val="22"/>
        </w:rPr>
      </w:pPr>
      <w:r>
        <w:rPr>
          <w:sz w:val="22"/>
        </w:rPr>
        <w:t xml:space="preserve">Stavba bude uspořádána tak, aby nedošlo k omezení přilehlého okolí – sousedních pozemků. Stavba musí splňovat bezpečnost staveniště.</w:t>
      </w:r>
      <w:r>
        <w:rPr>
          <w:sz w:val="22"/>
        </w:rPr>
      </w:r>
    </w:p>
    <w:p>
      <w:pPr>
        <w:pBdr/>
        <w:spacing w:after="0"/>
        <w:ind w:firstLine="567"/>
        <w:rPr>
          <w:sz w:val="22"/>
        </w:rPr>
      </w:pPr>
      <w:r>
        <w:rPr>
          <w:sz w:val="22"/>
        </w:rPr>
        <w:t xml:space="preserve">  </w:t>
      </w:r>
      <w:r>
        <w:rPr>
          <w:sz w:val="22"/>
        </w:rPr>
      </w:r>
    </w:p>
    <w:p>
      <w:pPr>
        <w:pBdr/>
        <w:spacing w:after="0"/>
        <w:ind/>
        <w:rPr>
          <w:sz w:val="22"/>
        </w:rPr>
      </w:pPr>
      <w:r>
        <w:rPr>
          <w:sz w:val="22"/>
        </w:rPr>
        <w:t xml:space="preserve">Ochrana stávající zeleně bude zabezpečena dle ČSN DIN 18 915 Práce s půdou a ČSN DIN 18 920 Ochrana stromů, porostů a ploch pro vegetaci při stavebních činnostech.</w:t>
      </w:r>
      <w:r>
        <w:rPr>
          <w:sz w:val="22"/>
        </w:rPr>
      </w:r>
    </w:p>
    <w:p>
      <w:pPr>
        <w:pBdr/>
        <w:spacing w:after="0"/>
        <w:ind/>
        <w:rPr>
          <w:sz w:val="22"/>
        </w:rPr>
      </w:pPr>
      <w:r>
        <w:rPr>
          <w:sz w:val="22"/>
        </w:rPr>
      </w:r>
      <w:r>
        <w:rPr>
          <w:sz w:val="22"/>
        </w:rPr>
      </w:r>
    </w:p>
    <w:p>
      <w:pPr>
        <w:pBdr/>
        <w:spacing w:after="0"/>
        <w:ind/>
        <w:rPr>
          <w:sz w:val="22"/>
          <w:u w:val="single"/>
        </w:rPr>
      </w:pPr>
      <w:r>
        <w:rPr>
          <w:sz w:val="22"/>
          <w:u w:val="single"/>
        </w:rPr>
        <w:t xml:space="preserve">Při výstavbě je nutné dodržet následující opatření:</w:t>
      </w:r>
      <w:r>
        <w:rPr>
          <w:sz w:val="22"/>
          <w:u w:val="single"/>
        </w:rPr>
      </w:r>
    </w:p>
    <w:p>
      <w:pPr>
        <w:pBdr/>
        <w:spacing w:after="0"/>
        <w:ind/>
        <w:rPr>
          <w:sz w:val="22"/>
        </w:rPr>
      </w:pPr>
      <w:r>
        <w:rPr>
          <w:sz w:val="22"/>
        </w:rPr>
        <w:t xml:space="preserve">-</w:t>
      </w:r>
      <w:r>
        <w:rPr>
          <w:sz w:val="22"/>
        </w:rPr>
        <w:tab/>
        <w:t xml:space="preserve">při stavebních pracích je nutné používat stroje, které jsou v řádném technickém stavu</w:t>
      </w:r>
      <w:r>
        <w:rPr>
          <w:sz w:val="22"/>
        </w:rPr>
      </w:r>
    </w:p>
    <w:p>
      <w:pPr>
        <w:pBdr/>
        <w:spacing w:after="0"/>
        <w:ind/>
        <w:rPr>
          <w:sz w:val="22"/>
        </w:rPr>
      </w:pPr>
      <w:r>
        <w:rPr>
          <w:sz w:val="22"/>
        </w:rPr>
        <w:t xml:space="preserve">-</w:t>
      </w:r>
      <w:r>
        <w:rPr>
          <w:sz w:val="22"/>
        </w:rPr>
        <w:tab/>
        <w:t xml:space="preserve">je nutné zabezpečení plynulé činnosti stavebních strojů </w:t>
      </w:r>
      <w:r>
        <w:rPr>
          <w:sz w:val="22"/>
        </w:rPr>
      </w:r>
    </w:p>
    <w:p>
      <w:pPr>
        <w:pBdr/>
        <w:spacing w:after="0"/>
        <w:ind/>
        <w:rPr>
          <w:sz w:val="22"/>
        </w:rPr>
      </w:pPr>
      <w:r>
        <w:rPr>
          <w:sz w:val="22"/>
        </w:rPr>
        <w:t xml:space="preserve">-</w:t>
      </w:r>
      <w:r>
        <w:rPr>
          <w:sz w:val="22"/>
        </w:rPr>
        <w:tab/>
        <w:t xml:space="preserve">maximální omezení prašnosti při stavebních pracích</w:t>
      </w:r>
      <w:r>
        <w:rPr>
          <w:sz w:val="22"/>
        </w:rPr>
      </w:r>
    </w:p>
    <w:p>
      <w:pPr>
        <w:pBdr/>
        <w:spacing w:after="0"/>
        <w:ind/>
        <w:rPr>
          <w:sz w:val="22"/>
        </w:rPr>
      </w:pPr>
      <w:r>
        <w:rPr>
          <w:sz w:val="22"/>
        </w:rPr>
        <w:t xml:space="preserve">-</w:t>
      </w:r>
      <w:r>
        <w:rPr>
          <w:sz w:val="22"/>
        </w:rPr>
        <w:tab/>
        <w:t xml:space="preserve">při výjezdu ze staveniště na veřejné komunikace by vozidla měla být očištěna, popř. vzniklé znečištění na komunikacích ihned odstraňovat</w:t>
      </w:r>
      <w:r>
        <w:rPr>
          <w:sz w:val="22"/>
        </w:rPr>
      </w:r>
    </w:p>
    <w:p>
      <w:pPr>
        <w:pBdr/>
        <w:spacing w:after="0"/>
        <w:ind/>
        <w:rPr>
          <w:sz w:val="22"/>
        </w:rPr>
      </w:pPr>
      <w:r>
        <w:rPr>
          <w:sz w:val="22"/>
        </w:rPr>
        <w:t xml:space="preserve">-</w:t>
      </w:r>
      <w:r>
        <w:rPr>
          <w:sz w:val="22"/>
        </w:rPr>
        <w:tab/>
        <w:t xml:space="preserve">udržování pořádku na staveništi, materiály ukládat na tomu určených místech</w:t>
      </w:r>
      <w:r>
        <w:rPr>
          <w:sz w:val="22"/>
        </w:rPr>
      </w:r>
    </w:p>
    <w:p>
      <w:pPr>
        <w:pBdr/>
        <w:spacing w:after="0"/>
        <w:ind/>
        <w:rPr>
          <w:sz w:val="22"/>
        </w:rPr>
      </w:pPr>
      <w:r>
        <w:rPr>
          <w:sz w:val="22"/>
        </w:rPr>
        <w:t xml:space="preserve">-</w:t>
      </w:r>
      <w:r>
        <w:rPr>
          <w:sz w:val="22"/>
        </w:rPr>
        <w:tab/>
        <w:t xml:space="preserve">ochrana stávající zeleně</w:t>
      </w:r>
      <w:r>
        <w:rPr>
          <w:sz w:val="22"/>
        </w:rPr>
      </w:r>
    </w:p>
    <w:p>
      <w:pPr>
        <w:pBdr/>
        <w:spacing w:after="0"/>
        <w:ind/>
        <w:rPr>
          <w:sz w:val="22"/>
        </w:rPr>
      </w:pPr>
      <w:r>
        <w:rPr>
          <w:sz w:val="22"/>
        </w:rPr>
        <w:t xml:space="preserve">-</w:t>
      </w:r>
      <w:r>
        <w:rPr>
          <w:sz w:val="22"/>
        </w:rPr>
        <w:tab/>
        <w:t xml:space="preserve">zhotovitel je povinen zajistit rizikové prostory – jako jsou výkopy, lavičky atd.</w:t>
      </w:r>
      <w:r>
        <w:rPr>
          <w:sz w:val="22"/>
        </w:rPr>
      </w:r>
    </w:p>
    <w:p>
      <w:pPr>
        <w:pStyle w:val="825"/>
        <w:pBdr/>
        <w:spacing/>
        <w:ind w:hanging="567" w:left="567"/>
        <w:rPr>
          <w:sz w:val="22"/>
        </w:rPr>
      </w:pPr>
      <w:r>
        <w:rPr>
          <w:sz w:val="22"/>
        </w:rPr>
      </w:r>
      <w:r>
        <w:rPr>
          <w:sz w:val="22"/>
        </w:rPr>
      </w:r>
    </w:p>
    <w:p>
      <w:pPr>
        <w:pStyle w:val="825"/>
        <w:pBdr/>
        <w:spacing/>
        <w:ind w:left="0"/>
        <w:rPr>
          <w:sz w:val="22"/>
        </w:rPr>
      </w:pPr>
      <w:r>
        <w:rPr>
          <w:sz w:val="22"/>
        </w:rPr>
        <w:t xml:space="preserve">Skladování stavebních materiálů musí být mimo možné pásmo jakéhokoli ohrožení. V období výstavby nebudou vznikat žádné splaškové odpadní vody. V zařízeních staveniště budou instalována mobilní WC. </w:t>
      </w:r>
      <w:r>
        <w:rPr>
          <w:sz w:val="22"/>
        </w:rPr>
      </w:r>
    </w:p>
    <w:p>
      <w:pPr>
        <w:pStyle w:val="825"/>
        <w:pBdr/>
        <w:spacing/>
        <w:ind w:hanging="567" w:left="567"/>
        <w:rPr>
          <w:sz w:val="22"/>
        </w:rPr>
      </w:pPr>
      <w:r>
        <w:rPr>
          <w:sz w:val="22"/>
        </w:rPr>
      </w:r>
      <w:r>
        <w:rPr>
          <w:sz w:val="22"/>
        </w:rPr>
      </w:r>
    </w:p>
    <w:p>
      <w:pPr>
        <w:pStyle w:val="825"/>
        <w:numPr>
          <w:ilvl w:val="0"/>
          <w:numId w:val="21"/>
        </w:numPr>
        <w:pBdr/>
        <w:spacing/>
        <w:ind w:hanging="567" w:left="567"/>
        <w:rPr>
          <w:sz w:val="22"/>
          <w:u w:val="single"/>
        </w:rPr>
      </w:pPr>
      <w:r>
        <w:rPr>
          <w:sz w:val="22"/>
          <w:u w:val="single"/>
        </w:rPr>
        <w:t xml:space="preserve">vstup a vjezd na stavbu, přístup na stavbu po dobu výstavby, popřípadě přístupové trasy, včetně požadavků na </w:t>
      </w:r>
      <w:r>
        <w:rPr>
          <w:sz w:val="22"/>
          <w:u w:val="single"/>
        </w:rPr>
        <w:t xml:space="preserve">obchozí</w:t>
      </w:r>
      <w:r>
        <w:rPr>
          <w:sz w:val="22"/>
          <w:u w:val="single"/>
        </w:rPr>
        <w:t xml:space="preserve"> trasy pro osoby s omezenou schopností pohybu nebo orientace a způsob zajištění bezpečnosti provozu,</w:t>
      </w:r>
      <w:r>
        <w:rPr>
          <w:sz w:val="22"/>
          <w:u w:val="single"/>
        </w:rPr>
      </w:r>
    </w:p>
    <w:p>
      <w:pPr>
        <w:pStyle w:val="825"/>
        <w:pBdr/>
        <w:spacing/>
        <w:ind w:hanging="567" w:left="567"/>
        <w:rPr>
          <w:sz w:val="22"/>
        </w:rPr>
      </w:pPr>
      <w:r>
        <w:rPr>
          <w:sz w:val="22"/>
        </w:rPr>
      </w:r>
      <w:r>
        <w:rPr>
          <w:sz w:val="22"/>
        </w:rPr>
      </w:r>
    </w:p>
    <w:p>
      <w:pPr>
        <w:pStyle w:val="825"/>
        <w:pBdr/>
        <w:spacing/>
        <w:ind w:firstLine="567" w:left="0"/>
        <w:rPr>
          <w:sz w:val="22"/>
        </w:rPr>
      </w:pPr>
      <w:r>
        <w:rPr>
          <w:sz w:val="22"/>
        </w:rPr>
        <w:t xml:space="preserve">Dopravní obslužnost bude zajištěna během výstavby a následného provozu ze stávající veřejné místní komunikací </w:t>
      </w:r>
      <w:r>
        <w:rPr>
          <w:sz w:val="22"/>
        </w:rPr>
        <w:t xml:space="preserve">vedoucí z obce </w:t>
      </w:r>
      <w:r>
        <w:rPr>
          <w:sz w:val="22"/>
        </w:rPr>
        <w:t xml:space="preserve">Třebotov</w:t>
      </w:r>
      <w:r>
        <w:rPr>
          <w:sz w:val="22"/>
        </w:rPr>
        <w:t xml:space="preserve">. </w:t>
      </w:r>
      <w:r>
        <w:rPr>
          <w:sz w:val="22"/>
        </w:rPr>
      </w:r>
    </w:p>
    <w:p>
      <w:pPr>
        <w:pStyle w:val="825"/>
        <w:pBdr/>
        <w:spacing/>
        <w:ind w:hanging="567" w:left="567"/>
        <w:rPr>
          <w:sz w:val="22"/>
        </w:rPr>
      </w:pPr>
      <w:r>
        <w:rPr>
          <w:sz w:val="22"/>
        </w:rPr>
      </w:r>
      <w:r>
        <w:rPr>
          <w:sz w:val="22"/>
        </w:rPr>
      </w:r>
    </w:p>
    <w:p>
      <w:pPr>
        <w:pStyle w:val="825"/>
        <w:numPr>
          <w:ilvl w:val="0"/>
          <w:numId w:val="21"/>
        </w:numPr>
        <w:pBdr/>
        <w:spacing/>
        <w:ind w:hanging="567" w:left="567"/>
        <w:rPr>
          <w:sz w:val="22"/>
          <w:u w:val="single"/>
        </w:rPr>
      </w:pPr>
      <w:r>
        <w:rPr>
          <w:sz w:val="22"/>
          <w:u w:val="single"/>
        </w:rPr>
        <w:t xml:space="preserve">maximální dočasné</w:t>
      </w:r>
      <w:r>
        <w:rPr>
          <w:sz w:val="22"/>
          <w:u w:val="single"/>
        </w:rPr>
        <w:t xml:space="preserve"> a trvalé zábory pro staveniště</w:t>
      </w:r>
      <w:r>
        <w:rPr>
          <w:sz w:val="22"/>
          <w:u w:val="single"/>
        </w:rPr>
        <w:t xml:space="preserve">,</w:t>
      </w:r>
      <w:r>
        <w:rPr>
          <w:sz w:val="22"/>
          <w:u w:val="single"/>
        </w:rPr>
      </w:r>
    </w:p>
    <w:p>
      <w:pPr>
        <w:pBdr/>
        <w:spacing/>
        <w:ind w:firstLine="567"/>
        <w:rPr>
          <w:sz w:val="22"/>
        </w:rPr>
      </w:pPr>
      <w:r>
        <w:rPr>
          <w:sz w:val="22"/>
        </w:rPr>
        <w:t xml:space="preserve">Při provádění stavebních prací dojde k dočasnému záboru pozemků stavebními objekty. D</w:t>
      </w:r>
      <w:r>
        <w:rPr>
          <w:sz w:val="22"/>
        </w:rPr>
        <w:t xml:space="preserve">odavatel si na vlastní náklad zajistí staveniště pro </w:t>
      </w:r>
      <w:r>
        <w:rPr>
          <w:sz w:val="22"/>
        </w:rPr>
        <w:t xml:space="preserve">mezideponie</w:t>
      </w:r>
      <w:r>
        <w:rPr>
          <w:sz w:val="22"/>
        </w:rPr>
        <w:t xml:space="preserve"> zemin a ostatního materiálu. Prostor pro zařízení staveniště, zázemí stavbyvedoucího a sklady materiálu bude vymezen před započetím stavebních prací za koordinace investora a obce </w:t>
      </w:r>
      <w:r>
        <w:rPr>
          <w:sz w:val="22"/>
        </w:rPr>
        <w:t xml:space="preserve">Třebotov. </w:t>
      </w:r>
      <w:r>
        <w:rPr>
          <w:sz w:val="22"/>
        </w:rPr>
        <w:t xml:space="preserve"> </w:t>
      </w:r>
      <w:r>
        <w:rPr>
          <w:sz w:val="22"/>
        </w:rPr>
      </w:r>
    </w:p>
    <w:p>
      <w:pPr>
        <w:pStyle w:val="825"/>
        <w:numPr>
          <w:ilvl w:val="0"/>
          <w:numId w:val="21"/>
        </w:numPr>
        <w:pBdr/>
        <w:spacing/>
        <w:ind w:hanging="567" w:left="567"/>
        <w:rPr>
          <w:sz w:val="22"/>
          <w:u w:val="single"/>
        </w:rPr>
      </w:pPr>
      <w:r>
        <w:rPr>
          <w:sz w:val="22"/>
          <w:u w:val="single"/>
        </w:rPr>
        <w:t xml:space="preserve">požadavky na ochranu životního prostředí při výstavbě – zejména opatření k minimalizaci dopadů při provádění stavby na životní prostředí, popis přítomnosti nebezpečných látek př</w:t>
      </w:r>
      <w:r>
        <w:rPr>
          <w:sz w:val="22"/>
          <w:u w:val="single"/>
        </w:rPr>
        <w:t xml:space="preserve">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w:t>
      </w:r>
      <w:r>
        <w:rPr>
          <w:sz w:val="22"/>
          <w:u w:val="single"/>
        </w:rPr>
        <w:t xml:space="preserve">osti a opatření proti prašnosti</w:t>
      </w:r>
      <w:r>
        <w:rPr>
          <w:sz w:val="22"/>
          <w:u w:val="single"/>
        </w:rPr>
        <w:t xml:space="preserve">,</w:t>
      </w:r>
      <w:r>
        <w:rPr>
          <w:sz w:val="22"/>
          <w:u w:val="single"/>
        </w:rPr>
      </w:r>
    </w:p>
    <w:p>
      <w:pPr>
        <w:pStyle w:val="825"/>
        <w:pBdr/>
        <w:spacing/>
        <w:ind w:left="567"/>
        <w:rPr>
          <w:sz w:val="22"/>
          <w:u w:val="single"/>
        </w:rPr>
      </w:pPr>
      <w:r>
        <w:rPr>
          <w:sz w:val="22"/>
          <w:u w:val="single"/>
        </w:rPr>
      </w:r>
      <w:r>
        <w:rPr>
          <w:sz w:val="22"/>
          <w:u w:val="single"/>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K zajištění ochrany životního prostředí při výstavbě je nutno respektovat tyto platné zákony: </w:t>
      </w:r>
      <w:r>
        <w:rPr>
          <w:rFonts w:eastAsia="Times New Roman" w:cs="Arial"/>
          <w:color w:val="00000a"/>
          <w:sz w:val="22"/>
          <w:szCs w:val="20"/>
          <w:lang w:eastAsia="cs-CZ"/>
        </w:rPr>
      </w:r>
    </w:p>
    <w:p>
      <w:pPr>
        <w:numPr>
          <w:ilvl w:val="0"/>
          <w:numId w:val="23"/>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Zákon o ochraně přírody a krajiny č. 114/1992 Sb., ve znění pozdějších předpisů</w:t>
      </w:r>
      <w:r>
        <w:rPr>
          <w:rFonts w:eastAsia="Times New Roman" w:cs="Arial"/>
          <w:color w:val="00000a"/>
          <w:sz w:val="22"/>
          <w:szCs w:val="20"/>
          <w:lang w:eastAsia="cs-CZ"/>
        </w:rPr>
      </w:r>
    </w:p>
    <w:p>
      <w:pPr>
        <w:numPr>
          <w:ilvl w:val="0"/>
          <w:numId w:val="23"/>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Zákon o životním prostředí č. 17/1992 Sb., ve znění zákona 123/1998 Sb.</w:t>
      </w:r>
      <w:r>
        <w:rPr>
          <w:rFonts w:eastAsia="Times New Roman" w:cs="Arial"/>
          <w:color w:val="00000a"/>
          <w:sz w:val="22"/>
          <w:szCs w:val="20"/>
          <w:lang w:eastAsia="cs-CZ"/>
        </w:rPr>
      </w:r>
    </w:p>
    <w:p>
      <w:pPr>
        <w:numPr>
          <w:ilvl w:val="0"/>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Při provádění prací je nutno dodržovat § 3 zákona č. 309/2006 Sb. a </w:t>
      </w:r>
      <w:r>
        <w:rPr>
          <w:rFonts w:eastAsia="Times New Roman" w:cs="Arial"/>
          <w:color w:val="00000a"/>
          <w:sz w:val="22"/>
          <w:szCs w:val="20"/>
          <w:lang w:eastAsia="cs-CZ"/>
        </w:rPr>
        <w:t xml:space="preserve">vyhl</w:t>
      </w:r>
      <w:r>
        <w:rPr>
          <w:rFonts w:eastAsia="Times New Roman" w:cs="Arial"/>
          <w:color w:val="00000a"/>
          <w:sz w:val="22"/>
          <w:szCs w:val="20"/>
          <w:lang w:eastAsia="cs-CZ"/>
        </w:rPr>
        <w:t xml:space="preserve">. č. 591/2006 Sb. Českého úřadu bezpečnosti práce o bezpečnosti práce a technických zařízení při stavebních pracích a všech vyhlášek a předpisů, na něž se tato vyhláška odvolává nebo se kterými souvisí.</w:t>
      </w:r>
      <w:r>
        <w:rPr>
          <w:rFonts w:eastAsia="Times New Roman" w:cs="Arial"/>
          <w:color w:val="00000a"/>
          <w:sz w:val="22"/>
          <w:szCs w:val="20"/>
          <w:lang w:eastAsia="cs-CZ"/>
        </w:rPr>
      </w:r>
    </w:p>
    <w:p>
      <w:pPr>
        <w:numPr>
          <w:ilvl w:val="0"/>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Zejména je nutno dbát na:</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Staveniště musí být zajištěno před vstupem nepovolaných osob, sklady trub zajištěny před uvolněním a zřícením.</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Staveniště musí být označeno výstražnými tabulkami, výkopy musí být ohrazeny a v noci osvětleny. Přechody pro pěší přes rýhy musí být opatřeny zábradlím.</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V celém prostoru staveniště musí být všichni pracovníci i hosté vybaveni předepsanými ochrannými pomůckami. Za dodržování předpisů zodpovídá stavbyvedoucí.</w:t>
      </w:r>
      <w:r>
        <w:rPr>
          <w:rFonts w:eastAsia="Times New Roman" w:cs="Arial"/>
          <w:color w:val="00000a"/>
          <w:sz w:val="22"/>
          <w:szCs w:val="20"/>
          <w:lang w:eastAsia="cs-CZ"/>
        </w:rPr>
      </w:r>
    </w:p>
    <w:p>
      <w:pPr>
        <w:pBdr/>
        <w:tabs>
          <w:tab w:val="left" w:leader="none" w:pos="567"/>
        </w:tabs>
        <w:spacing w:after="0" w:line="276" w:lineRule="auto"/>
        <w:ind w:left="2160"/>
        <w:rPr>
          <w:rFonts w:eastAsia="Times New Roman" w:cs="Arial"/>
          <w:color w:val="00000a"/>
          <w:sz w:val="22"/>
          <w:szCs w:val="20"/>
          <w:lang w:eastAsia="cs-CZ"/>
        </w:rPr>
      </w:pPr>
      <w:r>
        <w:rPr>
          <w:rFonts w:eastAsia="Times New Roman" w:cs="Arial"/>
          <w:color w:val="00000a"/>
          <w:sz w:val="22"/>
          <w:szCs w:val="20"/>
          <w:lang w:eastAsia="cs-CZ"/>
        </w:rPr>
      </w:r>
      <w:r>
        <w:rPr>
          <w:rFonts w:eastAsia="Times New Roman" w:cs="Arial"/>
          <w:color w:val="00000a"/>
          <w:sz w:val="22"/>
          <w:szCs w:val="20"/>
          <w:lang w:eastAsia="cs-CZ"/>
        </w:rPr>
      </w:r>
    </w:p>
    <w:p>
      <w:pPr>
        <w:numPr>
          <w:ilvl w:val="0"/>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Při činnosti je nutné se řídit zejména následujícími předpisy a normami:</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361/2007 Sb. ve znění pozdějších předpisů, kterým se stanoví podmínky ochrany zdraví při práci</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 272/2011 Sb. ve znění pozdějších předpisů o ochraně zdraví před nepříznivými účinky hluku a vibrací.</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 201/2010 Sb. ve znění pozdějších předpisů kterým se stanoví způsob evidence, hlášení a zasílání záznamu o úrazu, vzor záznamu o úrazu a okruh orgánů a institucí, kterým se ohlašuje pracovní úraz a zasílá záznam o úrazu.</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Zákon č. 258/2000 </w:t>
      </w:r>
      <w:r>
        <w:rPr>
          <w:rFonts w:eastAsia="Times New Roman" w:cs="Arial"/>
          <w:color w:val="00000a"/>
          <w:sz w:val="22"/>
          <w:szCs w:val="20"/>
          <w:lang w:eastAsia="cs-CZ"/>
        </w:rPr>
        <w:t xml:space="preserve">Sb.,o</w:t>
      </w:r>
      <w:r>
        <w:rPr>
          <w:rFonts w:eastAsia="Times New Roman" w:cs="Arial"/>
          <w:color w:val="00000a"/>
          <w:sz w:val="22"/>
          <w:szCs w:val="20"/>
          <w:lang w:eastAsia="cs-CZ"/>
        </w:rPr>
        <w:t xml:space="preserve"> ochraně</w:t>
      </w:r>
      <w:r>
        <w:rPr>
          <w:rFonts w:eastAsia="Times New Roman" w:cs="Arial"/>
          <w:color w:val="00000a"/>
          <w:sz w:val="22"/>
          <w:szCs w:val="20"/>
          <w:lang w:eastAsia="cs-CZ"/>
        </w:rPr>
        <w:t xml:space="preserve"> veřejného zdraví a o změně některých souvisejících předpisů.</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Související technické normy:</w:t>
      </w:r>
      <w:r>
        <w:rPr>
          <w:rFonts w:eastAsia="Times New Roman" w:cs="Arial"/>
          <w:color w:val="00000a"/>
          <w:sz w:val="22"/>
          <w:szCs w:val="20"/>
          <w:lang w:eastAsia="cs-CZ"/>
        </w:rPr>
      </w:r>
    </w:p>
    <w:p>
      <w:pPr>
        <w:numPr>
          <w:ilvl w:val="3"/>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ČSN 73 1201 Navrhování železobetonových konstrukcí</w:t>
      </w:r>
      <w:r>
        <w:rPr>
          <w:rFonts w:eastAsia="Times New Roman" w:cs="Arial"/>
          <w:color w:val="00000a"/>
          <w:sz w:val="22"/>
          <w:szCs w:val="20"/>
          <w:lang w:eastAsia="cs-CZ"/>
        </w:rPr>
      </w:r>
    </w:p>
    <w:p>
      <w:pPr>
        <w:numPr>
          <w:ilvl w:val="3"/>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ČSN EN 13670 Provádění betonových konstrukcí</w:t>
      </w:r>
      <w:r>
        <w:rPr>
          <w:rFonts w:eastAsia="Times New Roman" w:cs="Arial"/>
          <w:color w:val="00000a"/>
          <w:sz w:val="22"/>
          <w:szCs w:val="20"/>
          <w:lang w:eastAsia="cs-CZ"/>
        </w:rPr>
      </w:r>
    </w:p>
    <w:p>
      <w:pPr>
        <w:numPr>
          <w:ilvl w:val="3"/>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ČSN 33 2000-4-41 </w:t>
      </w:r>
      <w:r>
        <w:rPr>
          <w:rFonts w:eastAsia="Times New Roman" w:cs="Arial"/>
          <w:color w:val="00000a"/>
          <w:sz w:val="22"/>
          <w:szCs w:val="20"/>
          <w:lang w:eastAsia="cs-CZ"/>
        </w:rPr>
        <w:t xml:space="preserve">ed</w:t>
      </w:r>
      <w:r>
        <w:rPr>
          <w:rFonts w:eastAsia="Times New Roman" w:cs="Arial"/>
          <w:color w:val="00000a"/>
          <w:sz w:val="22"/>
          <w:szCs w:val="20"/>
          <w:lang w:eastAsia="cs-CZ"/>
        </w:rPr>
        <w:t xml:space="preserve">. 3 </w:t>
      </w:r>
      <w:r>
        <w:rPr>
          <w:rFonts w:eastAsia="Times New Roman" w:cs="Arial"/>
          <w:color w:val="00000a"/>
          <w:sz w:val="22"/>
          <w:szCs w:val="20"/>
          <w:lang w:eastAsia="cs-CZ"/>
        </w:rPr>
        <w:t xml:space="preserve">E</w:t>
      </w:r>
      <w:r>
        <w:rPr>
          <w:rFonts w:eastAsia="Times New Roman" w:cs="Arial"/>
          <w:color w:val="00000a"/>
          <w:sz w:val="22"/>
          <w:szCs w:val="20"/>
          <w:lang w:eastAsia="cs-CZ"/>
        </w:rPr>
        <w:t xml:space="preserve">lekt</w:t>
      </w:r>
      <w:r>
        <w:rPr>
          <w:rFonts w:eastAsia="Times New Roman" w:cs="Arial"/>
          <w:color w:val="00000a"/>
          <w:sz w:val="22"/>
          <w:szCs w:val="20"/>
          <w:lang w:eastAsia="cs-CZ"/>
        </w:rPr>
        <w:t xml:space="preserve">r</w:t>
      </w:r>
      <w:r>
        <w:rPr>
          <w:rFonts w:eastAsia="Times New Roman" w:cs="Arial"/>
          <w:color w:val="00000a"/>
          <w:sz w:val="22"/>
          <w:szCs w:val="20"/>
          <w:lang w:eastAsia="cs-CZ"/>
        </w:rPr>
        <w:t xml:space="preserve">ické</w:t>
      </w:r>
      <w:r>
        <w:rPr>
          <w:rFonts w:eastAsia="Times New Roman" w:cs="Arial"/>
          <w:color w:val="00000a"/>
          <w:sz w:val="22"/>
          <w:szCs w:val="20"/>
          <w:lang w:eastAsia="cs-CZ"/>
        </w:rPr>
        <w:t xml:space="preserve"> instalace nízkého napětí – Část 4-41: Ochranná opatření pro zajištění bezpečnosti – Ochrana před úrazem elektrickým proudem</w:t>
      </w:r>
      <w:r>
        <w:rPr>
          <w:rFonts w:eastAsia="Times New Roman" w:cs="Arial"/>
          <w:color w:val="00000a"/>
          <w:sz w:val="22"/>
          <w:szCs w:val="20"/>
          <w:lang w:eastAsia="cs-CZ"/>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r>
      <w:r>
        <w:rPr>
          <w:rFonts w:eastAsia="Times New Roman" w:cs="Arial"/>
          <w:color w:val="00000a"/>
          <w:sz w:val="22"/>
          <w:szCs w:val="20"/>
          <w:lang w:eastAsia="cs-CZ"/>
        </w:rPr>
      </w:r>
    </w:p>
    <w:p>
      <w:pPr>
        <w:numPr>
          <w:ilvl w:val="0"/>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Některé základní legislativní předpisy:</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Směrnice Rady 92/57/EHS ze dne 24. června 1992, o minimálních požadavcích na bezpečnost a ochranu zdraví na dočasných nebo mobilních staveništích (osmá samostatná směrnice ve smyslu </w:t>
      </w:r>
      <w:r>
        <w:rPr>
          <w:rFonts w:eastAsia="Times New Roman" w:cs="Arial"/>
          <w:color w:val="00000a"/>
          <w:sz w:val="22"/>
          <w:szCs w:val="20"/>
          <w:lang w:eastAsia="cs-CZ"/>
        </w:rPr>
        <w:t xml:space="preserve">čl.16</w:t>
      </w:r>
      <w:r>
        <w:rPr>
          <w:rFonts w:eastAsia="Times New Roman" w:cs="Arial"/>
          <w:color w:val="00000a"/>
          <w:sz w:val="22"/>
          <w:szCs w:val="20"/>
          <w:lang w:eastAsia="cs-CZ"/>
        </w:rPr>
        <w:t xml:space="preserve"> odst. 1 směrnice 89/391/EHS)</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Zákon 262/2006 Sb., zákoník práce - účinnost od </w:t>
      </w:r>
      <w:r>
        <w:rPr>
          <w:rFonts w:eastAsia="Times New Roman" w:cs="Arial"/>
          <w:color w:val="00000a"/>
          <w:sz w:val="22"/>
          <w:szCs w:val="20"/>
          <w:lang w:eastAsia="cs-CZ"/>
        </w:rPr>
        <w:t xml:space="preserve">1.1. 2007</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Zákon č. 309/2006 Sb., kterým se upravují další požadavky bezpečno</w:t>
      </w:r>
      <w:r>
        <w:rPr>
          <w:rFonts w:eastAsia="Times New Roman" w:cs="Arial"/>
          <w:color w:val="00000a"/>
          <w:sz w:val="22"/>
          <w:szCs w:val="20"/>
          <w:lang w:eastAsia="cs-CZ"/>
        </w:rPr>
        <w:t xml:space="preserve">sti a ochrany zdraví při práci v pracovněprávních vztazích a o zajištění bezpečnosti a ochrany zdraví při činnosti nebo poskytování služeb mimo pracovněprávní vztahy (zákon o zajištění dalších podmínek bezpečnosti a ochrany zdraví při práci) – účinnost od </w:t>
      </w:r>
      <w:r>
        <w:rPr>
          <w:rFonts w:eastAsia="Times New Roman" w:cs="Arial"/>
          <w:color w:val="00000a"/>
          <w:sz w:val="22"/>
          <w:szCs w:val="20"/>
          <w:lang w:eastAsia="cs-CZ"/>
        </w:rPr>
        <w:t xml:space="preserve">1.1.2007</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č.591/2006 Sb., o bližších minimálních požadavcích na bezpečnost a ochranu zdraví při práci na staveništích – účinnost od </w:t>
      </w:r>
      <w:r>
        <w:rPr>
          <w:rFonts w:eastAsia="Times New Roman" w:cs="Arial"/>
          <w:color w:val="00000a"/>
          <w:sz w:val="22"/>
          <w:szCs w:val="20"/>
          <w:lang w:eastAsia="cs-CZ"/>
        </w:rPr>
        <w:t xml:space="preserve">1.1.2007</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 592/2006 Sb., o podmínkách akreditace a provádění zkoušek z odborné způsobilosti – účinnost od </w:t>
      </w:r>
      <w:r>
        <w:rPr>
          <w:rFonts w:eastAsia="Times New Roman" w:cs="Arial"/>
          <w:color w:val="00000a"/>
          <w:sz w:val="22"/>
          <w:szCs w:val="20"/>
          <w:lang w:eastAsia="cs-CZ"/>
        </w:rPr>
        <w:t xml:space="preserve">1.1.2007</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 362/2005 Sb., o bližších požadavcích na bezpečnost a ochranu zdraví při práci na pracovištích s nebezpečím pádu z výšky nebo do hloubky – účinnost od </w:t>
      </w:r>
      <w:r>
        <w:rPr>
          <w:rFonts w:eastAsia="Times New Roman" w:cs="Arial"/>
          <w:color w:val="00000a"/>
          <w:sz w:val="22"/>
          <w:szCs w:val="20"/>
          <w:lang w:eastAsia="cs-CZ"/>
        </w:rPr>
        <w:t xml:space="preserve">4.10.2005</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 361/2007 Sb., kterým se stanoví podmínky ochrany zdraví při práci</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 272/2011 Sb. o ochraně zdraví před nepříznivými účinky hluku a vibrací.</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Nařízení vlády č. 201/2010 </w:t>
      </w:r>
      <w:r>
        <w:rPr>
          <w:rFonts w:eastAsia="Times New Roman" w:cs="Arial"/>
          <w:color w:val="00000a"/>
          <w:sz w:val="22"/>
          <w:szCs w:val="20"/>
          <w:lang w:eastAsia="cs-CZ"/>
        </w:rPr>
        <w:t xml:space="preserve">Sb.,o</w:t>
      </w:r>
      <w:r>
        <w:rPr>
          <w:rFonts w:eastAsia="Times New Roman" w:cs="Arial"/>
          <w:color w:val="00000a"/>
          <w:sz w:val="22"/>
          <w:szCs w:val="20"/>
          <w:lang w:eastAsia="cs-CZ"/>
        </w:rPr>
        <w:t xml:space="preserve"> způsobu</w:t>
      </w:r>
      <w:r>
        <w:rPr>
          <w:rFonts w:eastAsia="Times New Roman" w:cs="Arial"/>
          <w:color w:val="00000a"/>
          <w:sz w:val="22"/>
          <w:szCs w:val="20"/>
          <w:lang w:eastAsia="cs-CZ"/>
        </w:rPr>
        <w:t xml:space="preserve"> evidence úrazů, hlášení a zasílání záznamu o úrazu</w:t>
      </w:r>
      <w:r>
        <w:rPr>
          <w:rFonts w:eastAsia="Times New Roman" w:cs="Arial"/>
          <w:color w:val="00000a"/>
          <w:sz w:val="22"/>
          <w:szCs w:val="20"/>
          <w:lang w:eastAsia="cs-CZ"/>
        </w:rPr>
      </w:r>
    </w:p>
    <w:p>
      <w:pPr>
        <w:numPr>
          <w:ilvl w:val="2"/>
          <w:numId w:val="22"/>
        </w:num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Zákon č. 258/2000 </w:t>
      </w:r>
      <w:r>
        <w:rPr>
          <w:rFonts w:eastAsia="Times New Roman" w:cs="Arial"/>
          <w:color w:val="00000a"/>
          <w:sz w:val="22"/>
          <w:szCs w:val="20"/>
          <w:lang w:eastAsia="cs-CZ"/>
        </w:rPr>
        <w:t xml:space="preserve">Sb.,o</w:t>
      </w:r>
      <w:r>
        <w:rPr>
          <w:rFonts w:eastAsia="Times New Roman" w:cs="Arial"/>
          <w:color w:val="00000a"/>
          <w:sz w:val="22"/>
          <w:szCs w:val="20"/>
          <w:lang w:eastAsia="cs-CZ"/>
        </w:rPr>
        <w:t xml:space="preserve"> ochraně</w:t>
      </w:r>
      <w:r>
        <w:rPr>
          <w:rFonts w:eastAsia="Times New Roman" w:cs="Arial"/>
          <w:color w:val="00000a"/>
          <w:sz w:val="22"/>
          <w:szCs w:val="20"/>
          <w:lang w:eastAsia="cs-CZ"/>
        </w:rPr>
        <w:t xml:space="preserve"> veřejného zdraví a o změně některých  souvisejících předpisů.</w:t>
      </w:r>
      <w:r>
        <w:rPr>
          <w:rFonts w:eastAsia="Times New Roman" w:cs="Arial"/>
          <w:color w:val="00000a"/>
          <w:sz w:val="22"/>
          <w:szCs w:val="20"/>
          <w:lang w:eastAsia="cs-CZ"/>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r>
      <w:r>
        <w:rPr>
          <w:rFonts w:eastAsia="Times New Roman" w:cs="Arial"/>
          <w:color w:val="00000a"/>
          <w:sz w:val="22"/>
          <w:szCs w:val="20"/>
          <w:lang w:eastAsia="cs-CZ"/>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 xml:space="preserve">Při stavebních pracích budou respektovány všechny hygienické předpisy, zejména ochrana před hlukem, vibracemi a otřesy a ochrana před prachem. Stavba bude realizována tak, aby negativně neovlivnila prostředí okolních objektů. St</w:t>
      </w:r>
      <w:r>
        <w:rPr>
          <w:rFonts w:eastAsia="Times New Roman" w:cs="Arial"/>
          <w:color w:val="00000a"/>
          <w:sz w:val="22"/>
          <w:szCs w:val="20"/>
          <w:lang w:eastAsia="cs-CZ"/>
        </w:rPr>
        <w:t xml:space="preserve">avební práce budou probíhat od 6 do 22</w:t>
      </w:r>
      <w:r>
        <w:rPr>
          <w:rFonts w:eastAsia="Times New Roman" w:cs="Arial"/>
          <w:color w:val="00000a"/>
          <w:sz w:val="22"/>
          <w:szCs w:val="20"/>
          <w:lang w:eastAsia="cs-CZ"/>
        </w:rPr>
        <w:t xml:space="preserve"> hodin, přičemž nesmí dojít k překročení nejvyšší</w:t>
      </w:r>
      <w:r>
        <w:rPr>
          <w:rFonts w:eastAsia="Times New Roman" w:cs="Arial"/>
          <w:color w:val="00000a"/>
          <w:sz w:val="22"/>
          <w:szCs w:val="20"/>
          <w:lang w:eastAsia="cs-CZ"/>
        </w:rPr>
        <w:t xml:space="preserve"> přípustné ekvivalentní hladiny akustického tlaku A = 50 dB + přípustná korekce 10 dB, tzn. 60 dB, 2 m před fasádou okolních obytných a ostatních chráněných budov (nařízení vlády č. 272/2011 Sb., O ochraně zdraví před nepříznivými účinky hluku a vibrací). </w:t>
      </w:r>
      <w:r>
        <w:rPr>
          <w:rFonts w:eastAsia="Times New Roman" w:cs="Arial"/>
          <w:color w:val="00000a"/>
          <w:sz w:val="22"/>
          <w:szCs w:val="20"/>
          <w:lang w:eastAsia="cs-CZ"/>
        </w:rPr>
        <w:t xml:space="preserve">K omezení imisí hluku bude volena technologie, stroje, zařízení a mechanizované nářadí, jejichž emisní hodnoty jsou s ohledem na současný stav věd</w:t>
      </w:r>
      <w:r>
        <w:rPr>
          <w:rFonts w:eastAsia="Times New Roman" w:cs="Arial"/>
          <w:color w:val="00000a"/>
          <w:sz w:val="22"/>
          <w:szCs w:val="20"/>
          <w:lang w:eastAsia="cs-CZ"/>
        </w:rPr>
        <w:t xml:space="preserve">y a techniky relativně nízké. </w:t>
      </w:r>
      <w:r>
        <w:rPr>
          <w:rFonts w:eastAsia="Times New Roman" w:cs="Arial"/>
          <w:color w:val="00000a"/>
          <w:sz w:val="22"/>
          <w:szCs w:val="20"/>
          <w:lang w:eastAsia="cs-CZ"/>
        </w:rPr>
        <w:t xml:space="preserve">Výpis uvažovaného zařízení bude rekapitulován v související studii hluku ze stavební činnosti – budou používány typy strojů, zařízení, mechanizovaného nářadí a dopravníc</w:t>
      </w:r>
      <w:r>
        <w:rPr>
          <w:rFonts w:eastAsia="Times New Roman" w:cs="Arial"/>
          <w:color w:val="00000a"/>
          <w:sz w:val="22"/>
          <w:szCs w:val="20"/>
          <w:lang w:eastAsia="cs-CZ"/>
        </w:rPr>
        <w:t xml:space="preserve">h prostředků ve studii uvedené. </w:t>
      </w:r>
      <w:r>
        <w:rPr>
          <w:rFonts w:eastAsia="Times New Roman" w:cs="Arial"/>
          <w:color w:val="00000a"/>
          <w:sz w:val="22"/>
          <w:szCs w:val="20"/>
          <w:lang w:eastAsia="cs-CZ"/>
        </w:rPr>
        <w:t xml:space="preserve">Budou dodržovány termíny etap i doby aktivního nasazení strojů dle související stu</w:t>
      </w:r>
      <w:r>
        <w:rPr>
          <w:rFonts w:eastAsia="Times New Roman" w:cs="Arial"/>
          <w:color w:val="00000a"/>
          <w:sz w:val="22"/>
          <w:szCs w:val="20"/>
          <w:lang w:eastAsia="cs-CZ"/>
        </w:rPr>
        <w:t xml:space="preserve">die hluku ze stavební činnosti. </w:t>
      </w:r>
      <w:r>
        <w:rPr>
          <w:rFonts w:eastAsia="Times New Roman" w:cs="Arial"/>
          <w:color w:val="00000a"/>
          <w:sz w:val="22"/>
          <w:szCs w:val="20"/>
          <w:lang w:eastAsia="cs-CZ"/>
        </w:rPr>
        <w:t xml:space="preserve">Striktně bude dodržována pracovní doba s prováděním hlučných operací pouze v pracovní </w:t>
      </w:r>
      <w:r>
        <w:rPr>
          <w:rFonts w:eastAsia="Times New Roman" w:cs="Arial"/>
          <w:color w:val="00000a"/>
          <w:sz w:val="22"/>
          <w:szCs w:val="20"/>
          <w:lang w:eastAsia="cs-CZ"/>
        </w:rPr>
        <w:t xml:space="preserve">dny  od</w:t>
      </w:r>
      <w:r>
        <w:rPr>
          <w:rFonts w:eastAsia="Times New Roman" w:cs="Arial"/>
          <w:color w:val="00000a"/>
          <w:sz w:val="22"/>
          <w:szCs w:val="20"/>
          <w:lang w:eastAsia="cs-CZ"/>
        </w:rPr>
        <w:t xml:space="preserve"> 8:00do 17:00 a je nepřípustné provádět tyto činnosti v době od 22:00 do 0</w:t>
      </w:r>
      <w:r>
        <w:rPr>
          <w:rFonts w:eastAsia="Times New Roman" w:cs="Arial"/>
          <w:color w:val="00000a"/>
          <w:sz w:val="22"/>
          <w:szCs w:val="20"/>
          <w:lang w:eastAsia="cs-CZ"/>
        </w:rPr>
        <w:t xml:space="preserve">6:00 h resp. mimo pracovní dny. </w:t>
      </w:r>
      <w:r>
        <w:rPr>
          <w:rFonts w:eastAsia="Times New Roman" w:cs="Arial"/>
          <w:color w:val="00000a"/>
          <w:sz w:val="22"/>
          <w:szCs w:val="20"/>
          <w:lang w:eastAsia="cs-CZ"/>
        </w:rPr>
        <w:t xml:space="preserve">Stroje, zařízení, mechanizované nářadí a dopravní prostředky budou udržo</w:t>
      </w:r>
      <w:r>
        <w:rPr>
          <w:rFonts w:eastAsia="Times New Roman" w:cs="Arial"/>
          <w:color w:val="00000a"/>
          <w:sz w:val="22"/>
          <w:szCs w:val="20"/>
          <w:lang w:eastAsia="cs-CZ"/>
        </w:rPr>
        <w:t xml:space="preserve">vány v řádném technickém stavu. </w:t>
      </w:r>
      <w:r>
        <w:rPr>
          <w:rFonts w:eastAsia="Times New Roman" w:cs="Arial"/>
          <w:color w:val="00000a"/>
          <w:sz w:val="22"/>
          <w:szCs w:val="20"/>
          <w:lang w:eastAsia="cs-CZ"/>
        </w:rPr>
        <w:t xml:space="preserve">Práce musí být prováděny tak, aby nebyly zbytečně generovány nadměrné hladiny hluku. Všichni pracovníci budou v </w:t>
      </w:r>
      <w:r>
        <w:rPr>
          <w:rFonts w:eastAsia="Times New Roman" w:cs="Arial"/>
          <w:color w:val="00000a"/>
          <w:sz w:val="22"/>
          <w:szCs w:val="20"/>
          <w:lang w:eastAsia="cs-CZ"/>
        </w:rPr>
        <w:t xml:space="preserve">tomto  smyslu</w:t>
      </w:r>
      <w:r>
        <w:rPr>
          <w:rFonts w:eastAsia="Times New Roman" w:cs="Arial"/>
          <w:color w:val="00000a"/>
          <w:sz w:val="22"/>
          <w:szCs w:val="20"/>
          <w:lang w:eastAsia="cs-CZ"/>
        </w:rPr>
        <w:t xml:space="preserve"> podrobně instruováni. O instruování b</w:t>
      </w:r>
      <w:r>
        <w:rPr>
          <w:rFonts w:eastAsia="Times New Roman" w:cs="Arial"/>
          <w:color w:val="00000a"/>
          <w:sz w:val="22"/>
          <w:szCs w:val="20"/>
          <w:lang w:eastAsia="cs-CZ"/>
        </w:rPr>
        <w:t xml:space="preserve">ude pořízen zápis. </w:t>
      </w:r>
      <w:r>
        <w:rPr>
          <w:rFonts w:eastAsia="Times New Roman" w:cs="Arial"/>
          <w:color w:val="00000a"/>
          <w:sz w:val="22"/>
          <w:szCs w:val="20"/>
          <w:lang w:eastAsia="cs-CZ"/>
        </w:rPr>
        <w:t xml:space="preserve">Motory dopravních prostředků </w:t>
      </w:r>
      <w:r>
        <w:rPr>
          <w:rFonts w:eastAsia="Times New Roman" w:cs="Arial"/>
          <w:color w:val="00000a"/>
          <w:sz w:val="22"/>
          <w:szCs w:val="20"/>
          <w:lang w:eastAsia="cs-CZ"/>
        </w:rPr>
        <w:t xml:space="preserve">budou  vypínány</w:t>
      </w:r>
      <w:r>
        <w:rPr>
          <w:rFonts w:eastAsia="Times New Roman" w:cs="Arial"/>
          <w:color w:val="00000a"/>
          <w:sz w:val="22"/>
          <w:szCs w:val="20"/>
          <w:lang w:eastAsia="cs-CZ"/>
        </w:rPr>
        <w:t xml:space="preserve"> okamžitě po ukončení operace.</w:t>
      </w:r>
      <w:r>
        <w:rPr>
          <w:rFonts w:eastAsia="Times New Roman" w:cs="Arial"/>
          <w:color w:val="00000a"/>
          <w:sz w:val="22"/>
          <w:szCs w:val="20"/>
          <w:lang w:eastAsia="cs-CZ"/>
        </w:rPr>
        <w:t xml:space="preserve"> </w:t>
      </w:r>
      <w:r>
        <w:rPr>
          <w:rFonts w:eastAsia="Times New Roman" w:cs="Arial"/>
          <w:color w:val="00000a"/>
          <w:sz w:val="22"/>
          <w:szCs w:val="20"/>
          <w:lang w:eastAsia="cs-CZ"/>
        </w:rPr>
        <w:t xml:space="preserve">Staveniště může být před či v průběhu zahájením prací po celém obvodu oploceno, dílci tvořenými rámem a výplní rámů z deskových materiálů (ocelový plech, OSB desky). Výška dílců bude min. 2 m. Toto je záležitost </w:t>
      </w:r>
      <w:r>
        <w:rPr>
          <w:rFonts w:eastAsia="Times New Roman" w:cs="Arial"/>
          <w:color w:val="00000a"/>
          <w:sz w:val="22"/>
          <w:szCs w:val="20"/>
          <w:lang w:eastAsia="cs-CZ"/>
        </w:rPr>
        <w:t xml:space="preserve">zhotovitele. </w:t>
      </w:r>
      <w:r>
        <w:rPr>
          <w:rFonts w:eastAsia="Times New Roman" w:cs="Arial"/>
          <w:color w:val="00000a"/>
          <w:sz w:val="22"/>
          <w:szCs w:val="20"/>
          <w:lang w:eastAsia="cs-CZ"/>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ab/>
        <w:t xml:space="preserve">Ochrana stávající zeleně bude zabezpečena dle ČSN DIN 18 915 Práce s půdou a ČSN DIN 18 920 Ochrana stromů, porostů a ploch pro vegetaci při stavebních činnostech. </w:t>
      </w:r>
      <w:r>
        <w:rPr>
          <w:rFonts w:eastAsia="Times New Roman" w:cs="Arial"/>
          <w:color w:val="00000a"/>
          <w:sz w:val="22"/>
          <w:szCs w:val="20"/>
          <w:lang w:eastAsia="cs-CZ"/>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ab/>
        <w:t xml:space="preserve">Před odvozem stavebního odpadu ze stavby zajistí zhotovitel analýzy vzorků v souladu ustanovení zákona č. 294/2005 Sb. a doloží jej investorovi. </w:t>
      </w:r>
      <w:r>
        <w:rPr>
          <w:rFonts w:eastAsia="Times New Roman" w:cs="Arial"/>
          <w:color w:val="00000a"/>
          <w:sz w:val="22"/>
          <w:szCs w:val="20"/>
          <w:lang w:eastAsia="cs-CZ"/>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tab/>
        <w:t xml:space="preserve">Veřejné komunikace budou po znečištění stavebními mechanismy pravidelně čištěny.</w:t>
      </w:r>
      <w:r>
        <w:rPr>
          <w:rFonts w:eastAsia="Times New Roman" w:cs="Arial"/>
          <w:color w:val="00000a"/>
          <w:sz w:val="22"/>
          <w:szCs w:val="20"/>
          <w:lang w:eastAsia="cs-CZ"/>
        </w:rPr>
      </w:r>
    </w:p>
    <w:p>
      <w:pPr>
        <w:pBdr/>
        <w:tabs>
          <w:tab w:val="left" w:leader="none" w:pos="567"/>
        </w:tabs>
        <w:spacing w:after="0" w:line="276" w:lineRule="auto"/>
        <w:ind/>
        <w:rPr>
          <w:rFonts w:eastAsia="Times New Roman" w:cs="Arial"/>
          <w:color w:val="00000a"/>
          <w:sz w:val="22"/>
          <w:szCs w:val="20"/>
          <w:lang w:eastAsia="cs-CZ"/>
        </w:rPr>
      </w:pPr>
      <w:r>
        <w:rPr>
          <w:rFonts w:eastAsia="Times New Roman" w:cs="Arial"/>
          <w:color w:val="00000a"/>
          <w:sz w:val="22"/>
          <w:szCs w:val="20"/>
          <w:lang w:eastAsia="cs-CZ"/>
        </w:rPr>
      </w:r>
      <w:r>
        <w:rPr>
          <w:rFonts w:eastAsia="Times New Roman" w:cs="Arial"/>
          <w:color w:val="00000a"/>
          <w:sz w:val="22"/>
          <w:szCs w:val="20"/>
          <w:lang w:eastAsia="cs-CZ"/>
        </w:rPr>
      </w:r>
    </w:p>
    <w:p>
      <w:pPr>
        <w:pStyle w:val="825"/>
        <w:numPr>
          <w:ilvl w:val="0"/>
          <w:numId w:val="21"/>
        </w:numPr>
        <w:pBdr/>
        <w:spacing/>
        <w:ind w:hanging="567" w:left="567"/>
        <w:rPr>
          <w:sz w:val="22"/>
        </w:rPr>
      </w:pPr>
      <w:r>
        <w:rPr>
          <w:sz w:val="22"/>
          <w:u w:val="single"/>
        </w:rPr>
        <w:t xml:space="preserve">zásady bezpečnosti a ochrany </w:t>
      </w:r>
      <w:r>
        <w:rPr>
          <w:sz w:val="22"/>
          <w:u w:val="single"/>
        </w:rPr>
        <w:t xml:space="preserve">zdraví při práci na staveništi</w:t>
      </w:r>
      <w:r>
        <w:rPr>
          <w:sz w:val="22"/>
        </w:rPr>
        <w:t xml:space="preserve">,</w:t>
      </w:r>
      <w:r>
        <w:rPr>
          <w:sz w:val="22"/>
        </w:rPr>
      </w:r>
    </w:p>
    <w:p>
      <w:pPr>
        <w:pBdr/>
        <w:spacing/>
        <w:ind w:firstLine="567"/>
        <w:rPr>
          <w:sz w:val="22"/>
        </w:rPr>
      </w:pPr>
      <w:r>
        <w:rPr>
          <w:sz w:val="22"/>
        </w:rPr>
        <w:t xml:space="preserve">Při stavebních pracích se musí dodržovat předepsané </w:t>
      </w:r>
      <w:r>
        <w:rPr>
          <w:sz w:val="22"/>
        </w:rPr>
        <w:t xml:space="preserve">požadavky na dodržení bezpečnosti práce daných příslušnou legislativou v posledních zněních. Výkopy budou </w:t>
      </w:r>
      <w:r>
        <w:rPr>
          <w:sz w:val="22"/>
        </w:rPr>
        <w:t xml:space="preserve">zabezpečeny zábranami a výstražnými f</w:t>
      </w:r>
      <w:r>
        <w:rPr>
          <w:sz w:val="22"/>
        </w:rPr>
        <w:t xml:space="preserve">óliemi. Při výstavbě nebude porušena ochrana veřejných zájmů. Uspořádání staveniště bude respektovat podmínky ve vyjádřeních dotčených orgánů, které jsou ustanoveny zvláštním předpisem zajišťovat bezpečnost veřejných zájmů. </w:t>
      </w:r>
      <w:r>
        <w:rPr>
          <w:sz w:val="22"/>
        </w:rPr>
      </w:r>
    </w:p>
    <w:p>
      <w:pPr>
        <w:pBdr/>
        <w:spacing/>
        <w:ind w:firstLine="567"/>
        <w:rPr>
          <w:sz w:val="22"/>
        </w:rPr>
      </w:pPr>
      <w:r>
        <w:rPr>
          <w:sz w:val="22"/>
        </w:rPr>
        <w:t xml:space="preserve">Na stavbě mohou pracovat jen pracovníci vyučení nebo alespoň částečně zaučení v daném oboru. Všichni pracovníci na stavbě musí být proškoleni v rámci bezpečnosti práce.</w:t>
      </w:r>
      <w:r>
        <w:rPr>
          <w:sz w:val="22"/>
        </w:rPr>
      </w:r>
    </w:p>
    <w:p>
      <w:pPr>
        <w:pBdr/>
        <w:spacing/>
        <w:ind w:firstLine="567"/>
        <w:rPr>
          <w:sz w:val="22"/>
        </w:rPr>
      </w:pPr>
      <w:r>
        <w:rPr>
          <w:sz w:val="22"/>
        </w:rPr>
        <w:t xml:space="preserve">Vybavení ochrannými prostředky a pomůckami pro své zaměstnance zajistí jednotliví dodavatelé. V případě lehč</w:t>
      </w:r>
      <w:r>
        <w:rPr>
          <w:sz w:val="22"/>
        </w:rPr>
        <w:t xml:space="preserve">ího úrazu bude lékařská péče poskytnuta formou první pomoci přímo na staveništi. Lehčí úrazy budou po provedení první pomoci ošetřeny v nejbližším zdravotním středisku. Těžké úrazy po poskytnutí první pomoci ponechány k ošetření přivolané záchranné službě.</w:t>
      </w:r>
      <w:r>
        <w:rPr>
          <w:sz w:val="22"/>
        </w:rPr>
      </w:r>
    </w:p>
    <w:p>
      <w:pPr>
        <w:pBdr/>
        <w:spacing/>
        <w:ind w:firstLine="567"/>
        <w:rPr>
          <w:sz w:val="22"/>
        </w:rPr>
      </w:pPr>
      <w:r>
        <w:rPr>
          <w:sz w:val="22"/>
        </w:rPr>
        <w:t xml:space="preserve">Během výstavby je nutno respektovat ochranná pásma inženýrských sítí. Výkopové práce v ochranných pásmech inženýrských sítí ať podzemních nebo nadzemn</w:t>
      </w:r>
      <w:r>
        <w:rPr>
          <w:sz w:val="22"/>
        </w:rPr>
        <w:t xml:space="preserve">ích, které jsou v provozu, musí být provedeny ručně. Zhotovitel zajistí přesné výškové a situační vytyčení stávajících podzemních vedení a předá toto protokolárně dodavatelům. Montážní mechanizmy musí být zabezpečeny tak, aby byl zajištěn zákaz manipulace.</w:t>
      </w:r>
      <w:r>
        <w:rPr>
          <w:sz w:val="22"/>
        </w:rPr>
      </w:r>
    </w:p>
    <w:p>
      <w:pPr>
        <w:pBdr/>
        <w:spacing/>
        <w:ind w:firstLine="567"/>
        <w:rPr>
          <w:sz w:val="22"/>
        </w:rPr>
      </w:pPr>
      <w:r>
        <w:rPr>
          <w:sz w:val="22"/>
        </w:rPr>
        <w:t xml:space="preserve">Pracovníci zajišťující dopravu uvnitř staveniště musí být seznámeni s podmínkami provozu. V zimním období je nutné zajistit udržování cest po staveništi včetně sypání, aby nedošlo k úrazu. </w:t>
      </w:r>
      <w:r>
        <w:rPr>
          <w:sz w:val="22"/>
        </w:rPr>
      </w:r>
    </w:p>
    <w:p>
      <w:pPr>
        <w:pBdr/>
        <w:spacing/>
        <w:ind w:firstLine="567"/>
        <w:rPr>
          <w:sz w:val="22"/>
        </w:rPr>
      </w:pPr>
      <w:r>
        <w:rPr>
          <w:sz w:val="22"/>
        </w:rPr>
        <w:t xml:space="preserve">Pracoviště mus</w:t>
      </w:r>
      <w:r>
        <w:rPr>
          <w:sz w:val="22"/>
        </w:rPr>
        <w:t xml:space="preserve">í být při práci mimo denní dobu, </w:t>
      </w:r>
      <w:r>
        <w:rPr>
          <w:sz w:val="22"/>
        </w:rPr>
        <w:t xml:space="preserve">nebo když si to vyžadují klimatické podmínky, řádně osvětleno. Musí být viditelně vyvěšen seznam důl</w:t>
      </w:r>
      <w:r>
        <w:rPr>
          <w:sz w:val="22"/>
        </w:rPr>
        <w:t xml:space="preserve">ežitých telefonních stanic (lékařská služba, hasiči, plynárna, vodárna, CEZ, policie a pod). Je zakázáno všem osobám dovážet a požívat alkoholické nápoje na staveništi. Hranice staveniště budou označeny tabulkami vymezujícími prostor staveniště a oploceny.</w:t>
      </w:r>
      <w:r>
        <w:rPr>
          <w:sz w:val="22"/>
        </w:rPr>
      </w:r>
    </w:p>
    <w:p>
      <w:pPr>
        <w:pBdr/>
        <w:spacing/>
        <w:ind w:firstLine="567"/>
        <w:rPr>
          <w:sz w:val="22"/>
        </w:rPr>
      </w:pPr>
      <w:r>
        <w:rPr>
          <w:sz w:val="22"/>
        </w:rPr>
        <w:t xml:space="preserve">Při realizaci stavby budou dále dodrženy všechny související normy a vyhlášky</w:t>
      </w:r>
      <w:r>
        <w:rPr>
          <w:sz w:val="22"/>
        </w:rPr>
      </w:r>
    </w:p>
    <w:p>
      <w:pPr>
        <w:pBdr/>
        <w:spacing/>
        <w:ind w:firstLine="567"/>
        <w:rPr>
          <w:sz w:val="22"/>
        </w:rPr>
      </w:pPr>
      <w:r>
        <w:rPr>
          <w:sz w:val="22"/>
        </w:rPr>
        <w:t xml:space="preserve">Pokud dojde při výstavbě k nepředvídaným nálezům kulturně cenných předmětů, detailů stavby nebo chráněných částí přírody nebo k archeologickým nálezům, stavebník je povinen neprodleně oznámit nález stavebnímu úřadu a </w:t>
      </w:r>
      <w:r>
        <w:rPr>
          <w:sz w:val="22"/>
        </w:rPr>
        <w:t xml:space="preserve">orgánu státní památkové péče nebo orgánu ochrany přírody a zároveň učinit opatření nezbytná k tomu, aby nález nebyl poškozen nebo zničen a práce v daném místě nálezu přerušit. Tuto povinnost může stavebník přenést smlouvou na stavebního podnikatele nebo na</w:t>
      </w:r>
      <w:r>
        <w:rPr>
          <w:sz w:val="22"/>
        </w:rPr>
        <w:t xml:space="preserve"> osobu zabezpečující přípravu stavby či provádějící jiné práce dle tohoto zákona. Stavební úřad v dohodě s příslušným dotčeným orgánem stanoví podmínky k zabezpečení zájmů státní památkové péče a ochrany přírody a krajiny, popř. rozhodne o přerušení prací.</w:t>
      </w:r>
      <w:r>
        <w:rPr>
          <w:sz w:val="22"/>
        </w:rPr>
      </w:r>
    </w:p>
    <w:p>
      <w:pPr>
        <w:pBdr/>
        <w:spacing/>
        <w:ind w:firstLine="567"/>
        <w:rPr>
          <w:sz w:val="22"/>
        </w:rPr>
      </w:pPr>
      <w:r>
        <w:rPr>
          <w:sz w:val="22"/>
        </w:rPr>
        <w:t xml:space="preserve">Po dobu probíhajících stavebních prací bude zajištěn vjezd jednotkám IZS po stávajících veřejných místních komunikacích. </w:t>
      </w:r>
      <w:r>
        <w:rPr>
          <w:sz w:val="22"/>
        </w:rPr>
      </w:r>
    </w:p>
    <w:p>
      <w:pPr>
        <w:pBdr/>
        <w:spacing/>
        <w:ind w:firstLine="567"/>
        <w:rPr>
          <w:sz w:val="22"/>
        </w:rPr>
      </w:pPr>
      <w:r>
        <w:rPr>
          <w:sz w:val="22"/>
        </w:rPr>
        <w:t xml:space="preserve">Při výstavbě budou respektována nařízení o provádění stavebních prací v příslušných ochranným pásmech. </w:t>
      </w:r>
      <w:r>
        <w:rPr>
          <w:sz w:val="22"/>
        </w:rPr>
      </w:r>
    </w:p>
    <w:p>
      <w:pPr>
        <w:pBdr/>
        <w:spacing/>
        <w:ind w:firstLine="567"/>
        <w:rPr>
          <w:sz w:val="22"/>
        </w:rPr>
      </w:pPr>
      <w:r>
        <w:rPr>
          <w:sz w:val="22"/>
        </w:rPr>
        <w:t xml:space="preserve">Zadavatel je povinen provést oznámení o zah</w:t>
      </w:r>
      <w:r>
        <w:rPr>
          <w:sz w:val="22"/>
        </w:rPr>
        <w:t xml:space="preserve">ájení prací příslušnému oblastnímu inspektorátu práce před předáním staveniště zhotoviteli v zákonem stanovené lhůtě. Forma předání oznámení může být v listinné nebo elektronické podobě. Za včasné doručení zodpovídá zadavatel (§15, odst. 1 zákona 309/2006 </w:t>
      </w:r>
      <w:r>
        <w:rPr>
          <w:sz w:val="22"/>
        </w:rPr>
        <w:t xml:space="preserve">Sb</w:t>
      </w:r>
      <w:r>
        <w:rPr>
          <w:sz w:val="22"/>
        </w:rPr>
        <w:t xml:space="preserve">). Stavební a montážní práce musí být prováděny v souladu s ustanovením předpisů o bezpečnosti práce, jmenovitě nařízením vlády č. 5</w:t>
      </w:r>
      <w:r>
        <w:rPr>
          <w:sz w:val="22"/>
        </w:rPr>
        <w:t xml:space="preserve">91/2006 Sb. požadavky na bezpečnost a ochranu zdraví při práci na staveništích a zákonem č. 309/2006 Sb. Zajištění dalších podmínek bezpečnosti a ochrany zdraví při práci a dále jak je uvedeno v příslušných částech stavebního řešení projektové dokumentace.</w:t>
      </w:r>
      <w:r>
        <w:rPr>
          <w:sz w:val="22"/>
        </w:rPr>
      </w:r>
    </w:p>
    <w:p>
      <w:pPr>
        <w:pBdr/>
        <w:spacing/>
        <w:ind w:firstLine="567"/>
        <w:rPr>
          <w:sz w:val="22"/>
        </w:rPr>
      </w:pPr>
      <w:r>
        <w:rPr>
          <w:sz w:val="22"/>
        </w:rPr>
        <w:t xml:space="preserve">Stavba bude provedena v souladu s ČSN 73 6005, zák. č. 17/1992 Sb., zák. č. 388/1991 Sb., nařízení vlády ČR č. 61/2003 Sb., zák. č. 541/2020 Sb., zák. č. 201/2012 </w:t>
      </w:r>
      <w:r>
        <w:rPr>
          <w:sz w:val="22"/>
        </w:rPr>
        <w:t xml:space="preserve">Sb</w:t>
      </w:r>
      <w:r>
        <w:rPr>
          <w:sz w:val="22"/>
        </w:rPr>
        <w:t xml:space="preserve"> ve znění pozdějších předpisů a nařízení, jakož předpisů souvisejících.</w:t>
      </w:r>
      <w:r>
        <w:rPr>
          <w:sz w:val="22"/>
        </w:rPr>
      </w:r>
    </w:p>
    <w:p>
      <w:pPr>
        <w:pBdr/>
        <w:spacing/>
        <w:ind/>
        <w:rPr>
          <w:sz w:val="22"/>
          <w:u w:val="single"/>
        </w:rPr>
      </w:pPr>
      <w:r>
        <w:rPr>
          <w:sz w:val="22"/>
          <w:u w:val="single"/>
        </w:rPr>
        <w:t xml:space="preserve">Je nutné splnit:</w:t>
      </w:r>
      <w:r>
        <w:rPr>
          <w:sz w:val="22"/>
          <w:u w:val="single"/>
        </w:rPr>
      </w:r>
    </w:p>
    <w:p>
      <w:pPr>
        <w:pStyle w:val="825"/>
        <w:pBdr/>
        <w:spacing/>
        <w:ind w:firstLine="567"/>
        <w:rPr>
          <w:sz w:val="22"/>
        </w:rPr>
      </w:pPr>
      <w:r>
        <w:rPr>
          <w:sz w:val="22"/>
        </w:rPr>
        <w:t xml:space="preserve">-</w:t>
      </w:r>
      <w:r>
        <w:rPr>
          <w:sz w:val="22"/>
        </w:rPr>
        <w:tab/>
        <w:t xml:space="preserve">Požadavek na respektování podmínek ochranného pásma nad vodovodním řadem. Tato šířka je minimálně 1,5m od vnějšího líce potrubí na obě strany</w:t>
      </w:r>
      <w:r>
        <w:rPr>
          <w:sz w:val="22"/>
        </w:rPr>
      </w:r>
    </w:p>
    <w:p>
      <w:pPr>
        <w:pStyle w:val="825"/>
        <w:pBdr/>
        <w:spacing/>
        <w:ind w:firstLine="567"/>
        <w:rPr>
          <w:sz w:val="22"/>
        </w:rPr>
      </w:pPr>
      <w:r>
        <w:rPr>
          <w:sz w:val="22"/>
        </w:rPr>
        <w:t xml:space="preserve">-</w:t>
      </w:r>
      <w:r>
        <w:rPr>
          <w:sz w:val="22"/>
        </w:rPr>
        <w:tab/>
        <w:t xml:space="preserve">Požadavek na respektování podmínek ochranného pásma kabelových tras do 110 </w:t>
      </w:r>
      <w:r>
        <w:rPr>
          <w:sz w:val="22"/>
        </w:rPr>
        <w:t xml:space="preserve">kV</w:t>
      </w:r>
      <w:r>
        <w:rPr>
          <w:sz w:val="22"/>
        </w:rPr>
        <w:t xml:space="preserve">, kde jeho šíře je určena 1 m po obou stranách kabelu</w:t>
      </w:r>
      <w:r>
        <w:rPr>
          <w:sz w:val="22"/>
        </w:rPr>
      </w:r>
    </w:p>
    <w:p>
      <w:pPr>
        <w:pStyle w:val="825"/>
        <w:pBdr/>
        <w:spacing/>
        <w:ind w:firstLine="567"/>
        <w:rPr>
          <w:sz w:val="22"/>
        </w:rPr>
      </w:pPr>
      <w:r>
        <w:rPr>
          <w:sz w:val="22"/>
        </w:rPr>
        <w:t xml:space="preserve">-</w:t>
      </w:r>
      <w:r>
        <w:rPr>
          <w:sz w:val="22"/>
        </w:rPr>
        <w:tab/>
        <w:t xml:space="preserve">Požadavek na respektování podmínek ochranného pásma nadzemní el. Vedení nad 1 </w:t>
      </w:r>
      <w:r>
        <w:rPr>
          <w:sz w:val="22"/>
        </w:rPr>
        <w:t xml:space="preserve">kV</w:t>
      </w:r>
      <w:r>
        <w:rPr>
          <w:sz w:val="22"/>
        </w:rPr>
        <w:t xml:space="preserve"> do 35 </w:t>
      </w:r>
      <w:r>
        <w:rPr>
          <w:sz w:val="22"/>
        </w:rPr>
        <w:t xml:space="preserve">kV</w:t>
      </w:r>
      <w:r>
        <w:rPr>
          <w:sz w:val="22"/>
        </w:rPr>
        <w:t xml:space="preserve"> včetně. Vodič bez izolace 7 m na obě strany.</w:t>
      </w:r>
      <w:r>
        <w:rPr>
          <w:sz w:val="22"/>
        </w:rPr>
      </w:r>
    </w:p>
    <w:p>
      <w:pPr>
        <w:pStyle w:val="825"/>
        <w:pBdr/>
        <w:spacing/>
        <w:ind w:firstLine="567"/>
        <w:rPr>
          <w:sz w:val="22"/>
        </w:rPr>
      </w:pPr>
      <w:r>
        <w:rPr>
          <w:sz w:val="22"/>
        </w:rPr>
        <w:t xml:space="preserve">-</w:t>
      </w:r>
      <w:r>
        <w:rPr>
          <w:sz w:val="22"/>
        </w:rPr>
        <w:tab/>
        <w:t xml:space="preserve">Požadavek na respektování podmínek ochranného pásma kabelových tras telekomunikačních vedení, kde jeho šíře je určena 1,5 m po obou stranách kabelu.</w:t>
      </w:r>
      <w:r>
        <w:rPr>
          <w:sz w:val="22"/>
        </w:rPr>
      </w:r>
    </w:p>
    <w:p>
      <w:pPr>
        <w:pBdr/>
        <w:spacing/>
        <w:ind w:firstLine="708"/>
        <w:rPr>
          <w:sz w:val="22"/>
        </w:rPr>
      </w:pPr>
      <w:r>
        <w:rPr>
          <w:sz w:val="22"/>
        </w:rPr>
        <w:t xml:space="preserve">Po skončení montážních prací na potrubí bude provedena zkouška průchodnosti p</w:t>
      </w:r>
      <w:r>
        <w:rPr>
          <w:sz w:val="22"/>
        </w:rPr>
        <w:t xml:space="preserve">otrubí. Dále pak bude následovat proplach a dezinfekce potrubí a tlaková zkoušky dle ČSN 75 5911 Tlakové zkoušky vodovodního a závlahového potrubí. Protokoly o zkouškách budou předloženy investorovi, který jej předá vodoprávnímu orgánu při kolaudaci díla. </w:t>
      </w:r>
      <w:r>
        <w:rPr>
          <w:sz w:val="22"/>
        </w:rPr>
      </w:r>
    </w:p>
    <w:p>
      <w:pPr>
        <w:pStyle w:val="825"/>
        <w:pBdr/>
        <w:spacing/>
        <w:ind w:firstLine="708" w:left="0"/>
        <w:rPr>
          <w:sz w:val="22"/>
        </w:rPr>
      </w:pPr>
      <w:r>
        <w:rPr>
          <w:sz w:val="22"/>
        </w:rPr>
        <w:t xml:space="preserve">Před zahájením výkopových prací musí dodavatel stavby nechat vytyčit všechny podzemní investi</w:t>
      </w:r>
      <w:r>
        <w:rPr>
          <w:sz w:val="22"/>
        </w:rPr>
        <w:t xml:space="preserve">ce od jejich správců! Průběh trubního vedení je zakresleno orientačně na základě dostupných podkladů. </w:t>
      </w:r>
      <w:r>
        <w:rPr>
          <w:sz w:val="22"/>
        </w:rPr>
      </w:r>
    </w:p>
    <w:p>
      <w:pPr>
        <w:pStyle w:val="825"/>
        <w:pBdr/>
        <w:spacing/>
        <w:ind w:firstLine="708" w:left="0"/>
        <w:rPr>
          <w:sz w:val="22"/>
        </w:rPr>
      </w:pPr>
      <w:r>
        <w:rPr>
          <w:sz w:val="22"/>
        </w:rPr>
      </w:r>
      <w:r>
        <w:rPr>
          <w:sz w:val="22"/>
        </w:rPr>
      </w:r>
    </w:p>
    <w:p>
      <w:pPr>
        <w:pStyle w:val="825"/>
        <w:numPr>
          <w:ilvl w:val="0"/>
          <w:numId w:val="21"/>
        </w:numPr>
        <w:pBdr/>
        <w:spacing/>
        <w:ind w:hanging="567" w:left="567"/>
        <w:rPr>
          <w:sz w:val="22"/>
          <w:u w:val="single"/>
        </w:rPr>
      </w:pPr>
      <w:r>
        <w:rPr>
          <w:sz w:val="22"/>
          <w:u w:val="single"/>
        </w:rPr>
        <w:t xml:space="preserve">bilance zemních prací, požadav</w:t>
      </w:r>
      <w:r>
        <w:rPr>
          <w:sz w:val="22"/>
          <w:u w:val="single"/>
        </w:rPr>
        <w:t xml:space="preserve">ky na přísun nebo </w:t>
      </w:r>
      <w:r>
        <w:rPr>
          <w:sz w:val="22"/>
          <w:u w:val="single"/>
        </w:rPr>
        <w:t xml:space="preserve">deponie</w:t>
      </w:r>
      <w:r>
        <w:rPr>
          <w:sz w:val="22"/>
          <w:u w:val="single"/>
        </w:rPr>
        <w:t xml:space="preserve"> zemin</w:t>
      </w:r>
      <w:r>
        <w:rPr>
          <w:sz w:val="22"/>
          <w:u w:val="single"/>
        </w:rPr>
        <w:t xml:space="preserve">,</w:t>
      </w:r>
      <w:r>
        <w:rPr>
          <w:sz w:val="22"/>
          <w:u w:val="single"/>
        </w:rPr>
      </w:r>
    </w:p>
    <w:p>
      <w:pPr>
        <w:pStyle w:val="825"/>
        <w:pBdr/>
        <w:spacing/>
        <w:ind w:hanging="567" w:left="567"/>
        <w:rPr>
          <w:sz w:val="22"/>
        </w:rPr>
      </w:pPr>
      <w:r>
        <w:rPr>
          <w:sz w:val="22"/>
        </w:rPr>
      </w:r>
      <w:r>
        <w:rPr>
          <w:sz w:val="22"/>
        </w:rPr>
      </w:r>
    </w:p>
    <w:p>
      <w:pPr>
        <w:pStyle w:val="825"/>
        <w:pBdr/>
        <w:spacing/>
        <w:ind w:firstLine="567" w:left="0"/>
        <w:rPr>
          <w:sz w:val="22"/>
        </w:rPr>
      </w:pPr>
      <w:r>
        <w:rPr>
          <w:sz w:val="22"/>
        </w:rPr>
        <w:t xml:space="preserve">Na začátku stavebních prací bude provedena skrývka ornice, která bude uložena na dočasnou staveništní </w:t>
      </w:r>
      <w:r>
        <w:rPr>
          <w:sz w:val="22"/>
        </w:rPr>
        <w:t xml:space="preserve">mezideponii</w:t>
      </w:r>
      <w:r>
        <w:rPr>
          <w:sz w:val="22"/>
        </w:rPr>
        <w:t xml:space="preserve">. </w:t>
      </w:r>
      <w:r>
        <w:rPr>
          <w:sz w:val="22"/>
        </w:rPr>
        <w:t xml:space="preserve">Předpokládá se téměř vyrovnaná bilance výkopů a násypů. Případné přebytky zeminy, event. vytěžených skalních hornin budou uloženy dle pokynů ob</w:t>
      </w:r>
      <w:r>
        <w:rPr>
          <w:sz w:val="22"/>
        </w:rPr>
        <w:t xml:space="preserve">c</w:t>
      </w:r>
      <w:r>
        <w:rPr>
          <w:sz w:val="22"/>
        </w:rPr>
        <w:t xml:space="preserve">e Třebotov, příp. na skládku realizační organizace. </w:t>
      </w:r>
      <w:r>
        <w:rPr>
          <w:sz w:val="22"/>
        </w:rPr>
      </w:r>
    </w:p>
    <w:p>
      <w:pPr>
        <w:pStyle w:val="825"/>
        <w:pBdr/>
        <w:spacing/>
        <w:ind w:firstLine="567" w:left="0"/>
        <w:rPr>
          <w:sz w:val="22"/>
        </w:rPr>
      </w:pPr>
      <w:r>
        <w:rPr>
          <w:sz w:val="22"/>
        </w:rPr>
      </w:r>
      <w:r>
        <w:rPr>
          <w:sz w:val="22"/>
        </w:rPr>
      </w:r>
    </w:p>
    <w:p>
      <w:pPr>
        <w:pStyle w:val="825"/>
        <w:pBdr/>
        <w:spacing/>
        <w:ind w:firstLine="567" w:left="0"/>
        <w:rPr>
          <w:sz w:val="22"/>
        </w:rPr>
      </w:pPr>
      <w:r>
        <w:rPr>
          <w:sz w:val="22"/>
        </w:rPr>
        <w:t xml:space="preserve">Na </w:t>
      </w:r>
      <w:r>
        <w:rPr>
          <w:sz w:val="22"/>
        </w:rPr>
        <w:t xml:space="preserve">mezideponii</w:t>
      </w:r>
      <w:r>
        <w:rPr>
          <w:sz w:val="22"/>
        </w:rPr>
        <w:t xml:space="preserve"> bude dodavatel provádět i třídění odpadů či materiálů urč</w:t>
      </w:r>
      <w:bookmarkStart w:id="17" w:name="_GoBack"/>
      <w:r/>
      <w:bookmarkEnd w:id="17"/>
      <w:r>
        <w:rPr>
          <w:sz w:val="22"/>
        </w:rPr>
        <w:t xml:space="preserve">ených k odvozu k trvalému uložení na skládku či k dalšímu zpracování. V závěru stavby dodavatel odveze přebytečnou a nevhodnou zeminu pro zpětné zásypy na vhodn</w:t>
      </w:r>
      <w:r>
        <w:rPr>
          <w:sz w:val="22"/>
        </w:rPr>
        <w:t xml:space="preserve">ou skládku k trvalému uložení. Téměř v</w:t>
      </w:r>
      <w:r>
        <w:rPr>
          <w:sz w:val="22"/>
        </w:rPr>
        <w:t xml:space="preserve">eškerá vytěžená zemina bude zpětně použita.</w:t>
      </w:r>
      <w:r>
        <w:rPr>
          <w:sz w:val="22"/>
        </w:rPr>
        <w:t xml:space="preserve"> </w:t>
      </w:r>
      <w:r>
        <w:rPr>
          <w:sz w:val="22"/>
        </w:rPr>
      </w:r>
    </w:p>
    <w:p>
      <w:pPr>
        <w:pStyle w:val="825"/>
        <w:pBdr/>
        <w:spacing/>
        <w:ind w:firstLine="567" w:left="0"/>
        <w:rPr>
          <w:sz w:val="22"/>
        </w:rPr>
      </w:pPr>
      <w:r>
        <w:rPr>
          <w:sz w:val="22"/>
        </w:rPr>
      </w:r>
      <w:r>
        <w:rPr>
          <w:sz w:val="22"/>
        </w:rPr>
      </w:r>
    </w:p>
    <w:p>
      <w:pPr>
        <w:pStyle w:val="825"/>
        <w:numPr>
          <w:ilvl w:val="0"/>
          <w:numId w:val="21"/>
        </w:numPr>
        <w:pBdr/>
        <w:spacing/>
        <w:ind w:hanging="567" w:left="567"/>
        <w:rPr>
          <w:sz w:val="22"/>
          <w:u w:val="single"/>
        </w:rPr>
      </w:pPr>
      <w:r>
        <w:rPr>
          <w:sz w:val="22"/>
          <w:u w:val="single"/>
        </w:rPr>
        <w:t xml:space="preserve">limity pro užit</w:t>
      </w:r>
      <w:r>
        <w:rPr>
          <w:sz w:val="22"/>
          <w:u w:val="single"/>
        </w:rPr>
        <w:t xml:space="preserve">í výškové mechanizace</w:t>
      </w:r>
      <w:r>
        <w:rPr>
          <w:sz w:val="22"/>
          <w:u w:val="single"/>
        </w:rPr>
        <w:t xml:space="preserve">,</w:t>
      </w:r>
      <w:r>
        <w:rPr>
          <w:sz w:val="22"/>
          <w:u w:val="single"/>
        </w:rPr>
      </w:r>
    </w:p>
    <w:p>
      <w:pPr>
        <w:pBdr/>
        <w:spacing/>
        <w:ind/>
        <w:rPr>
          <w:sz w:val="22"/>
        </w:rPr>
      </w:pPr>
      <w:r>
        <w:rPr>
          <w:sz w:val="22"/>
        </w:rPr>
        <w:t xml:space="preserve">Netýká se.</w:t>
      </w:r>
      <w:r>
        <w:rPr>
          <w:sz w:val="22"/>
        </w:rPr>
      </w:r>
    </w:p>
    <w:p>
      <w:pPr>
        <w:pStyle w:val="825"/>
        <w:numPr>
          <w:ilvl w:val="0"/>
          <w:numId w:val="21"/>
        </w:numPr>
        <w:pBdr/>
        <w:spacing/>
        <w:ind w:hanging="567" w:left="567"/>
        <w:rPr>
          <w:sz w:val="22"/>
          <w:u w:val="single"/>
        </w:rPr>
      </w:pPr>
      <w:r>
        <w:rPr>
          <w:sz w:val="22"/>
          <w:u w:val="single"/>
        </w:rPr>
        <w:t xml:space="preserve">návrh fází výstavby za účelem </w:t>
      </w:r>
      <w:r>
        <w:rPr>
          <w:sz w:val="22"/>
          <w:u w:val="single"/>
        </w:rPr>
        <w:t xml:space="preserve">provedení kontrolních prohlídek</w:t>
      </w:r>
      <w:r>
        <w:rPr>
          <w:sz w:val="22"/>
          <w:u w:val="single"/>
        </w:rPr>
        <w:t xml:space="preserve">,</w:t>
      </w:r>
      <w:r>
        <w:rPr>
          <w:sz w:val="22"/>
          <w:u w:val="single"/>
        </w:rPr>
      </w:r>
    </w:p>
    <w:p>
      <w:pPr>
        <w:pBdr/>
        <w:spacing/>
        <w:ind/>
        <w:rPr>
          <w:sz w:val="22"/>
        </w:rPr>
      </w:pPr>
      <w:r>
        <w:rPr>
          <w:sz w:val="22"/>
        </w:rPr>
        <w:t xml:space="preserve">Veškeré stavební práce budou probíhat </w:t>
      </w:r>
      <w:r>
        <w:rPr>
          <w:sz w:val="22"/>
        </w:rPr>
        <w:t xml:space="preserve">za provozu objektu ČOV. </w:t>
      </w:r>
      <w:r>
        <w:rPr>
          <w:sz w:val="22"/>
        </w:rPr>
        <w:t xml:space="preserve"> </w:t>
      </w:r>
      <w:r>
        <w:rPr>
          <w:sz w:val="22"/>
        </w:rPr>
      </w:r>
    </w:p>
    <w:p>
      <w:pPr>
        <w:pStyle w:val="825"/>
        <w:pBdr/>
        <w:spacing/>
        <w:ind w:hanging="567" w:left="567"/>
        <w:rPr>
          <w:sz w:val="22"/>
          <w:u w:val="single"/>
        </w:rPr>
      </w:pPr>
      <w:r>
        <w:rPr>
          <w:sz w:val="22"/>
          <w:u w:val="single"/>
        </w:rPr>
      </w:r>
      <w:r>
        <w:rPr>
          <w:sz w:val="22"/>
          <w:u w:val="single"/>
        </w:rPr>
      </w:r>
    </w:p>
    <w:p>
      <w:pPr>
        <w:pStyle w:val="825"/>
        <w:pBdr/>
        <w:spacing/>
        <w:ind w:hanging="567" w:left="567"/>
        <w:rPr>
          <w:sz w:val="22"/>
          <w:u w:val="single"/>
        </w:rPr>
      </w:pPr>
      <w:r>
        <w:rPr>
          <w:sz w:val="22"/>
          <w:u w:val="single"/>
        </w:rPr>
        <w:t xml:space="preserve">Provoz stávající ČOV v průběhu rekonstrukce a výstavby nové ČOV – navrhovaný postup:</w:t>
      </w:r>
      <w:r>
        <w:rPr>
          <w:sz w:val="22"/>
          <w:u w:val="single"/>
        </w:rPr>
      </w:r>
    </w:p>
    <w:p>
      <w:pPr>
        <w:pStyle w:val="825"/>
        <w:numPr>
          <w:ilvl w:val="0"/>
          <w:numId w:val="35"/>
        </w:numPr>
        <w:pBdr/>
        <w:spacing/>
        <w:ind/>
        <w:rPr>
          <w:sz w:val="22"/>
        </w:rPr>
      </w:pPr>
      <w:r>
        <w:rPr>
          <w:sz w:val="22"/>
        </w:rPr>
        <w:t xml:space="preserve">Kompletní výstavba nového reaktoru, jeho technologické vystrojení, dočasné napojení 2 ks dmychadel a čerpadel </w:t>
      </w:r>
      <w:r>
        <w:rPr>
          <w:sz w:val="22"/>
        </w:rPr>
        <w:t xml:space="preserve">vnější recirkulace na elektrickou energii. Spotřebiče budou ovládány ručně, časováním. Nový objekt bude propojen se stávající ČJ. </w:t>
      </w:r>
      <w:r>
        <w:rPr>
          <w:sz w:val="22"/>
        </w:rPr>
      </w:r>
    </w:p>
    <w:p>
      <w:pPr>
        <w:pStyle w:val="825"/>
        <w:numPr>
          <w:ilvl w:val="0"/>
          <w:numId w:val="35"/>
        </w:numPr>
        <w:pBdr/>
        <w:spacing/>
        <w:ind/>
        <w:rPr>
          <w:sz w:val="22"/>
        </w:rPr>
      </w:pPr>
      <w:r>
        <w:rPr>
          <w:sz w:val="22"/>
        </w:rPr>
        <w:t xml:space="preserve">Objem stávajícího objektu ČOV bude přečerpán do nového reaktor</w:t>
      </w:r>
      <w:r>
        <w:rPr>
          <w:sz w:val="22"/>
        </w:rPr>
        <w:t xml:space="preserve">u, např. AN2, následně bude zapnuto dmychadlo č. 2 do ručního režimu. Poté bude uzavřen prostup propojení AN2 a DN2 deskovým uzávěrem. Bude vyjmuto čerpadlo vnější recirkulace z čerpací jímky a bude nahrazeno pomocným ručním čerpadlem s flexibilní hadicí. </w:t>
      </w:r>
      <w:r>
        <w:rPr>
          <w:sz w:val="22"/>
        </w:rPr>
        <w:t xml:space="preserve">Výtlak bude nasměrován do protilehlého nátoku do dosazovací nádrže. Čerpadlo bude spuštěno v časovacím režimu. </w:t>
      </w:r>
      <w:r>
        <w:rPr>
          <w:sz w:val="22"/>
        </w:rPr>
      </w:r>
    </w:p>
    <w:p>
      <w:pPr>
        <w:pStyle w:val="825"/>
        <w:numPr>
          <w:ilvl w:val="0"/>
          <w:numId w:val="35"/>
        </w:numPr>
        <w:pBdr/>
        <w:spacing/>
        <w:ind/>
        <w:rPr>
          <w:sz w:val="22"/>
        </w:rPr>
      </w:pPr>
      <w:r>
        <w:rPr>
          <w:sz w:val="22"/>
        </w:rPr>
        <w:t xml:space="preserve">Přemístění do stávajícího RBS na zpevněnou plochu u nového reaktoru, po dobu montáže a instalace </w:t>
      </w:r>
      <w:r>
        <w:rPr>
          <w:sz w:val="22"/>
        </w:rPr>
        <w:t xml:space="preserve">bude puštěn nátok z obce do nového mechanického předčištění a necháme natékat do stávající ČOV. Poté bude propojen nátok z obce s přemístěným RBS. Mechanicky </w:t>
      </w:r>
      <w:r>
        <w:rPr>
          <w:sz w:val="22"/>
        </w:rPr>
        <w:t xml:space="preserve">predčištěné</w:t>
      </w:r>
      <w:r>
        <w:rPr>
          <w:sz w:val="22"/>
        </w:rPr>
        <w:t xml:space="preserve"> odpadní vody budou napouštěny do AN2. </w:t>
      </w:r>
      <w:r>
        <w:rPr>
          <w:sz w:val="22"/>
        </w:rPr>
      </w:r>
    </w:p>
    <w:p>
      <w:pPr>
        <w:pStyle w:val="825"/>
        <w:numPr>
          <w:ilvl w:val="0"/>
          <w:numId w:val="35"/>
        </w:numPr>
        <w:pBdr/>
        <w:spacing/>
        <w:ind/>
        <w:rPr>
          <w:sz w:val="22"/>
        </w:rPr>
      </w:pPr>
      <w:r>
        <w:rPr>
          <w:sz w:val="22"/>
        </w:rPr>
        <w:t xml:space="preserve">Ze stávajícího objektu ČOV bude vyčerpán veškerý obsah, bude provedena demontáž technologie a vyčištění nádrží. Aktivační směs bude čerpána do AN2, nežádoucí znečištění bude odváženo. </w:t>
      </w:r>
      <w:r>
        <w:rPr>
          <w:sz w:val="22"/>
        </w:rPr>
      </w:r>
    </w:p>
    <w:p>
      <w:pPr>
        <w:pStyle w:val="825"/>
        <w:numPr>
          <w:ilvl w:val="0"/>
          <w:numId w:val="35"/>
        </w:numPr>
        <w:pBdr/>
        <w:spacing/>
        <w:ind/>
        <w:rPr>
          <w:sz w:val="22"/>
        </w:rPr>
      </w:pPr>
      <w:r>
        <w:rPr>
          <w:sz w:val="22"/>
        </w:rPr>
        <w:t xml:space="preserve">DN1 a DN2 budou vystrojeny novou technologií, bude zhotoveno trubní propojení mezi AN1 a DN1.</w:t>
      </w:r>
      <w:r>
        <w:rPr>
          <w:sz w:val="22"/>
        </w:rPr>
      </w:r>
    </w:p>
    <w:p>
      <w:pPr>
        <w:pStyle w:val="825"/>
        <w:numPr>
          <w:ilvl w:val="0"/>
          <w:numId w:val="35"/>
        </w:numPr>
        <w:pBdr/>
        <w:spacing/>
        <w:ind/>
        <w:rPr>
          <w:sz w:val="22"/>
        </w:rPr>
      </w:pPr>
      <w:r>
        <w:rPr>
          <w:sz w:val="22"/>
        </w:rPr>
        <w:t xml:space="preserve">Bude nainstalováno nové mechanické předčištění, rozdělovací objekt, následně bude provedeno nové trubní propojení z obce a bude spuštěn nátok do DN1.</w:t>
      </w:r>
      <w:r>
        <w:rPr>
          <w:sz w:val="22"/>
        </w:rPr>
      </w:r>
    </w:p>
    <w:p>
      <w:pPr>
        <w:pStyle w:val="825"/>
        <w:numPr>
          <w:ilvl w:val="0"/>
          <w:numId w:val="35"/>
        </w:numPr>
        <w:pBdr/>
        <w:spacing/>
        <w:ind/>
        <w:rPr>
          <w:sz w:val="22"/>
        </w:rPr>
      </w:pPr>
      <w:r>
        <w:rPr>
          <w:sz w:val="22"/>
        </w:rPr>
        <w:t xml:space="preserve">Bude přečerpán objem z AN2 do AN1 a následně zprovozněna linka AN1, DN1. </w:t>
      </w:r>
      <w:r>
        <w:rPr>
          <w:sz w:val="22"/>
        </w:rPr>
      </w:r>
    </w:p>
    <w:p>
      <w:pPr>
        <w:pStyle w:val="825"/>
        <w:numPr>
          <w:ilvl w:val="0"/>
          <w:numId w:val="35"/>
        </w:numPr>
        <w:pBdr/>
        <w:spacing/>
        <w:ind/>
        <w:rPr>
          <w:sz w:val="22"/>
        </w:rPr>
      </w:pPr>
      <w:r>
        <w:rPr>
          <w:sz w:val="22"/>
        </w:rPr>
        <w:t xml:space="preserve">Bude provedeno trubní propojení AN2, DN2, následně budou napouštěny prázdné objemy objektu ČOV. </w:t>
      </w:r>
      <w:r>
        <w:rPr>
          <w:sz w:val="22"/>
        </w:rPr>
      </w:r>
    </w:p>
    <w:p>
      <w:pPr>
        <w:pStyle w:val="825"/>
        <w:numPr>
          <w:ilvl w:val="0"/>
          <w:numId w:val="35"/>
        </w:numPr>
        <w:pBdr/>
        <w:spacing/>
        <w:ind/>
        <w:rPr>
          <w:sz w:val="22"/>
        </w:rPr>
      </w:pPr>
      <w:r>
        <w:rPr>
          <w:sz w:val="22"/>
        </w:rPr>
        <w:t xml:space="preserve">Současně se stavebními pracemi na všech stavebních objektech budou prováděny práce na stávajících kalojemech, bude provedena instalace elektra </w:t>
      </w:r>
      <w:r>
        <w:rPr>
          <w:sz w:val="22"/>
        </w:rPr>
        <w:t xml:space="preserve">MaR</w:t>
      </w:r>
      <w:r>
        <w:rPr>
          <w:sz w:val="22"/>
        </w:rPr>
        <w:t xml:space="preserve"> a zároveň i výstavba </w:t>
      </w:r>
      <w:r>
        <w:rPr>
          <w:sz w:val="22"/>
        </w:rPr>
        <w:t xml:space="preserve">kalolisovny</w:t>
      </w:r>
      <w:r>
        <w:rPr>
          <w:sz w:val="22"/>
        </w:rPr>
        <w:t xml:space="preserve"> a jejího vystrojení. </w:t>
      </w:r>
      <w:r>
        <w:rPr>
          <w:sz w:val="22"/>
        </w:rPr>
      </w:r>
    </w:p>
    <w:p>
      <w:pPr>
        <w:pBdr/>
        <w:spacing/>
        <w:ind/>
        <w:rPr>
          <w:sz w:val="22"/>
        </w:rPr>
      </w:pPr>
      <w:r>
        <w:rPr>
          <w:sz w:val="22"/>
        </w:rPr>
        <w:t xml:space="preserve">Předpokládan</w:t>
      </w:r>
      <w:r>
        <w:rPr>
          <w:sz w:val="22"/>
        </w:rPr>
        <w:t xml:space="preserve">é zahájení stavby je v roce 2026</w:t>
      </w:r>
      <w:r>
        <w:rPr>
          <w:sz w:val="22"/>
        </w:rPr>
        <w:t xml:space="preserve">, </w:t>
      </w:r>
      <w:r>
        <w:rPr>
          <w:sz w:val="22"/>
        </w:rPr>
        <w:t xml:space="preserve">ukončení </w:t>
      </w:r>
      <w:r>
        <w:rPr>
          <w:sz w:val="22"/>
        </w:rPr>
        <w:t xml:space="preserve">do roku 2027. </w:t>
      </w:r>
      <w:r>
        <w:rPr>
          <w:sz w:val="22"/>
        </w:rPr>
        <w:t xml:space="preserve">Orientační náklady stavby budou zjištěny na základě výběrového řízení na dodavatele stavby. </w:t>
      </w:r>
      <w:r>
        <w:rPr>
          <w:sz w:val="22"/>
        </w:rPr>
      </w:r>
    </w:p>
    <w:p>
      <w:pPr>
        <w:pBdr/>
        <w:spacing/>
        <w:ind/>
        <w:rPr>
          <w:sz w:val="22"/>
        </w:rPr>
      </w:pPr>
      <w:r>
        <w:rPr>
          <w:sz w:val="22"/>
        </w:rPr>
      </w:r>
      <w:r>
        <w:rPr>
          <w:sz w:val="22"/>
        </w:rPr>
      </w:r>
    </w:p>
    <w:p>
      <w:pPr>
        <w:pBdr/>
        <w:spacing/>
        <w:ind/>
        <w:rPr>
          <w:sz w:val="22"/>
        </w:rPr>
      </w:pPr>
      <w:r>
        <w:rPr>
          <w:sz w:val="22"/>
        </w:rPr>
      </w:r>
      <w:r>
        <w:rPr>
          <w:sz w:val="22"/>
        </w:rPr>
      </w:r>
    </w:p>
    <w:p>
      <w:pPr>
        <w:pBdr/>
        <w:spacing/>
        <w:ind/>
        <w:rPr>
          <w:sz w:val="22"/>
        </w:rPr>
      </w:pPr>
      <w:r>
        <w:rPr>
          <w:sz w:val="22"/>
        </w:rPr>
      </w:r>
      <w:r>
        <w:rPr>
          <w:sz w:val="22"/>
        </w:rPr>
      </w:r>
    </w:p>
    <w:p>
      <w:pPr>
        <w:pBdr/>
        <w:spacing/>
        <w:ind/>
        <w:rPr>
          <w:sz w:val="22"/>
        </w:rPr>
      </w:pPr>
      <w:r>
        <w:rPr>
          <w:sz w:val="22"/>
        </w:rPr>
      </w:r>
      <w:r>
        <w:rPr>
          <w:sz w:val="22"/>
        </w:rPr>
      </w:r>
    </w:p>
    <w:p>
      <w:pPr>
        <w:pBdr/>
        <w:spacing/>
        <w:ind/>
        <w:rPr>
          <w:sz w:val="22"/>
        </w:rPr>
      </w:pPr>
      <w:r>
        <w:rPr>
          <w:sz w:val="22"/>
        </w:rPr>
      </w:r>
      <w:r>
        <w:rPr>
          <w:sz w:val="22"/>
        </w:rPr>
      </w:r>
    </w:p>
    <w:p>
      <w:pPr>
        <w:pBdr/>
        <w:spacing/>
        <w:ind/>
        <w:rPr>
          <w:sz w:val="22"/>
        </w:rPr>
      </w:pPr>
      <w:r>
        <w:rPr>
          <w:sz w:val="22"/>
        </w:rPr>
        <w:t xml:space="preserve">V Praze, </w:t>
      </w:r>
      <w:r>
        <w:rPr>
          <w:sz w:val="22"/>
        </w:rPr>
        <w:t xml:space="preserve">červen 2025</w:t>
      </w:r>
      <w:r>
        <w:rPr>
          <w:sz w:val="22"/>
        </w:rPr>
        <w:tab/>
      </w:r>
      <w:r>
        <w:rPr>
          <w:sz w:val="22"/>
        </w:rPr>
        <w:tab/>
      </w:r>
      <w:r>
        <w:rPr>
          <w:sz w:val="22"/>
        </w:rPr>
        <w:tab/>
      </w:r>
      <w:r>
        <w:rPr>
          <w:sz w:val="22"/>
        </w:rPr>
        <w:tab/>
      </w:r>
      <w:r>
        <w:rPr>
          <w:sz w:val="22"/>
        </w:rPr>
        <w:tab/>
        <w:t xml:space="preserve">           </w:t>
      </w:r>
      <w:r>
        <w:rPr>
          <w:sz w:val="22"/>
        </w:rPr>
        <w:tab/>
        <w:t xml:space="preserve">Vypracovala: Ing. Pittnerová</w:t>
      </w:r>
      <w:r>
        <w:rPr>
          <w:sz w:val="22"/>
        </w:rPr>
      </w:r>
    </w:p>
    <w:sectPr>
      <w:headerReference w:type="default" r:id="rId9"/>
      <w:footerReference w:type="default" r:id="rId10"/>
      <w:footnotePr/>
      <w:endnotePr/>
      <w:type w:val="nextPage"/>
      <w:pgSz w:h="16838" w:orient="portrait" w:w="11906"/>
      <w:pgMar w:top="1417" w:right="1417" w:bottom="1417"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502050405020303"/>
  </w:font>
  <w:font w:name="Tahoma">
    <w:panose1 w:val="020B0604030504040204"/>
  </w:font>
  <w:font w:name="Wingdings">
    <w:panose1 w:val="05000000000000000000"/>
  </w:font>
  <w:font w:name="Courier New">
    <w:panose1 w:val="02070309020205020404"/>
  </w:font>
  <w:font w:name="Symbol">
    <w:panose1 w:val="05010000000000000000"/>
  </w:font>
  <w:font w:name="Calibri">
    <w:panose1 w:val="020F0502020204030204"/>
  </w:font>
  <w:font w:name="Verdana">
    <w:panose1 w:val="020B0604030504040204"/>
  </w:font>
  <w:font w:name="Arial Narrow">
    <w:panose1 w:val="020B0606020202030204"/>
  </w:font>
  <w:font w:name="Microsoft YaHei">
    <w:panose1 w:val="020B0603020203020204"/>
  </w:font>
  <w:font w:name="Liberation Sans"/>
  <w:font w:name="Times New Roman">
    <w:panose1 w:val="02020603050405020304"/>
  </w:font>
  <w:font w:name="Cambria">
    <w:panose1 w:val="020405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9"/>
      <w:pBdr/>
      <w:spacing/>
      <w:ind/>
      <w:jc w:val="left"/>
      <w:rPr>
        <w:i/>
      </w:rPr>
    </w:pPr>
    <w:r>
      <w:rPr>
        <w:i/>
      </w:rPr>
      <w:t xml:space="preserve">Vodohospodářské inženýrské služby a.s.</w:t>
    </w:r>
    <w:r>
      <w:rPr>
        <w:i/>
      </w:rPr>
      <w:fldChar w:fldCharType="begin"/>
    </w:r>
    <w:r>
      <w:rPr>
        <w:i/>
      </w:rPr>
      <w:instrText xml:space="preserve">PAGE   \* MERGEFORMAT</w:instrText>
    </w:r>
    <w:r>
      <w:rPr>
        <w:i/>
      </w:rPr>
      <w:fldChar w:fldCharType="separate"/>
    </w:r>
    <w:r>
      <w:rPr>
        <w:i/>
      </w:rPr>
      <w:t xml:space="preserve">28</w:t>
    </w:r>
    <w:r>
      <w:rPr>
        <w:i/>
      </w:rPr>
      <w:tab/>
      <w:fldChar w:fldCharType="end"/>
      <w:tab/>
      <w:tab/>
    </w:r>
    <w:r>
      <w:rPr>
        <w:i/>
      </w:rPr>
      <w:t xml:space="preserve">červen, 2025</w:t>
    </w:r>
    <w:r>
      <w:rPr>
        <w:i/>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spacing/>
      <w:ind/>
      <w:rPr>
        <w:i/>
        <w:szCs w:val="20"/>
      </w:rPr>
    </w:pPr>
    <w:r>
      <w:rPr>
        <w:i/>
        <w:szCs w:val="20"/>
      </w:rPr>
      <w:t xml:space="preserve">ČOV Třebotov – navýšení kapacity</w:t>
    </w:r>
    <w:r>
      <w:rPr>
        <w:i/>
        <w:szCs w:val="20"/>
      </w:rPr>
      <w:tab/>
    </w:r>
    <w:r>
      <w:rPr>
        <w:i/>
        <w:szCs w:val="20"/>
      </w:rPr>
      <w:tab/>
      <w:t xml:space="preserve">B. SOUHRNNÁ TECHNICKÁ ZPRÁVA</w:t>
    </w:r>
    <w:r>
      <w:rPr>
        <w:i/>
        <w:szCs w:val="20"/>
      </w:rPr>
    </w:r>
  </w:p>
  <w:p>
    <w:pPr>
      <w:pStyle w:val="827"/>
      <w:pBdr/>
      <w:spacing/>
      <w:ind/>
      <w:jc w:val="right"/>
      <w:rPr>
        <w:i/>
      </w:rPr>
    </w:pPr>
    <w:r>
      <w:rPr>
        <w:i/>
      </w:rPr>
      <w:t xml:space="preserve">Dokumentace pro provedení stavby (DPS)</w:t>
    </w:r>
    <w:r>
      <w:rPr>
        <w:i/>
      </w:rPr>
      <w:tab/>
    </w:r>
    <w:r>
      <w:rPr>
        <w:i/>
      </w:rPr>
      <w:tab/>
      <w:t xml:space="preserve">č. </w:t>
    </w:r>
    <w:r>
      <w:rPr>
        <w:i/>
      </w:rPr>
      <w:t xml:space="preserve">zak</w:t>
    </w:r>
    <w:r>
      <w:rPr>
        <w:i/>
      </w:rPr>
      <w:t xml:space="preserve">. 3/25-005</w:t>
    </w:r>
    <w:r>
      <w:rPr>
        <w:i/>
      </w:rPr>
    </w:r>
  </w:p>
  <w:p>
    <w:pPr>
      <w:pStyle w:val="827"/>
      <w:pBdr/>
      <w:spacing/>
      <w:ind/>
      <w:rPr>
        <w:i/>
      </w:rPr>
    </w:pPr>
    <w:r>
      <w:rPr>
        <w:i/>
      </w:rPr>
      <w:tab/>
    </w:r>
    <w:r>
      <w:rPr>
        <w:i/>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
      <w:numFmt w:val="none"/>
      <w:pPr>
        <w:pBdr/>
        <w:tabs>
          <w:tab w:val="num" w:leader="none" w:pos="0"/>
        </w:tabs>
        <w:spacing/>
        <w:ind w:hanging="432" w:left="432"/>
      </w:pPr>
      <w:rPr/>
      <w:start w:val="1"/>
      <w:suff w:val="nothing"/>
    </w:lvl>
    <w:lvl w:ilvl="1">
      <w:isLgl w:val="false"/>
      <w:lvlJc w:val="left"/>
      <w:lvlText w:val=""/>
      <w:numFmt w:val="none"/>
      <w:pPr>
        <w:pBdr/>
        <w:tabs>
          <w:tab w:val="num" w:leader="none" w:pos="0"/>
        </w:tabs>
        <w:spacing/>
        <w:ind w:hanging="576" w:left="576"/>
      </w:pPr>
      <w:rPr/>
      <w:start w:val="1"/>
      <w:suff w:val="nothing"/>
    </w:lvl>
    <w:lvl w:ilvl="2">
      <w:isLgl w:val="false"/>
      <w:lvlJc w:val="left"/>
      <w:lvlText w:val=""/>
      <w:numFmt w:val="none"/>
      <w:pPr>
        <w:pBdr/>
        <w:tabs>
          <w:tab w:val="num" w:leader="none" w:pos="0"/>
        </w:tabs>
        <w:spacing/>
        <w:ind w:hanging="720" w:left="720"/>
      </w:pPr>
      <w:rPr/>
      <w:start w:val="1"/>
      <w:suff w:val="nothing"/>
    </w:lvl>
    <w:lvl w:ilvl="3">
      <w:isLgl w:val="false"/>
      <w:lvlJc w:val="left"/>
      <w:lvlText w:val=""/>
      <w:numFmt w:val="none"/>
      <w:pPr>
        <w:pBdr/>
        <w:tabs>
          <w:tab w:val="num" w:leader="none" w:pos="0"/>
        </w:tabs>
        <w:spacing/>
        <w:ind w:hanging="864" w:left="864"/>
      </w:pPr>
      <w:rPr/>
      <w:start w:val="1"/>
      <w:suff w:val="nothing"/>
    </w:lvl>
    <w:lvl w:ilvl="4">
      <w:isLgl w:val="false"/>
      <w:lvlJc w:val="left"/>
      <w:lvlText w:val=""/>
      <w:numFmt w:val="none"/>
      <w:pPr>
        <w:pBdr/>
        <w:tabs>
          <w:tab w:val="num" w:leader="none" w:pos="1008"/>
        </w:tabs>
        <w:spacing/>
        <w:ind w:hanging="1008" w:left="1008"/>
      </w:pPr>
      <w:rPr/>
      <w:start w:val="1"/>
      <w:suff w:val="nothing"/>
    </w:lvl>
    <w:lvl w:ilvl="5">
      <w:isLgl w:val="false"/>
      <w:lvlJc w:val="left"/>
      <w:lvlText w:val=""/>
      <w:numFmt w:val="none"/>
      <w:pPr>
        <w:pBdr/>
        <w:tabs>
          <w:tab w:val="num" w:leader="none" w:pos="1152"/>
        </w:tabs>
        <w:spacing/>
        <w:ind w:hanging="1152" w:left="1152"/>
      </w:pPr>
      <w:rPr/>
      <w:start w:val="1"/>
      <w:suff w:val="nothing"/>
    </w:lvl>
    <w:lvl w:ilvl="6">
      <w:isLgl w:val="false"/>
      <w:lvlJc w:val="left"/>
      <w:lvlText w:val=""/>
      <w:numFmt w:val="none"/>
      <w:pPr>
        <w:pBdr/>
        <w:tabs>
          <w:tab w:val="num" w:leader="none" w:pos="1296"/>
        </w:tabs>
        <w:spacing/>
        <w:ind w:hanging="1296" w:left="1296"/>
      </w:pPr>
      <w:rPr/>
      <w:start w:val="1"/>
      <w:suff w:val="nothing"/>
    </w:lvl>
    <w:lvl w:ilvl="7">
      <w:isLgl w:val="false"/>
      <w:lvlJc w:val="left"/>
      <w:lvlText w:val=""/>
      <w:numFmt w:val="none"/>
      <w:pPr>
        <w:pBdr/>
        <w:tabs>
          <w:tab w:val="num" w:leader="none" w:pos="1440"/>
        </w:tabs>
        <w:spacing/>
        <w:ind w:hanging="1440" w:left="1440"/>
      </w:pPr>
      <w:rPr/>
      <w:start w:val="1"/>
      <w:suff w:val="nothing"/>
    </w:lvl>
    <w:lvl w:ilvl="8">
      <w:isLgl w:val="false"/>
      <w:lvlJc w:val="left"/>
      <w:lvlText w:val=""/>
      <w:numFmt w:val="none"/>
      <w:pPr>
        <w:pBdr/>
        <w:tabs>
          <w:tab w:val="num" w:leader="none" w:pos="1584"/>
        </w:tabs>
        <w:spacing/>
        <w:ind w:hanging="1584" w:left="1584"/>
      </w:pPr>
      <w:rPr/>
      <w:start w:val="1"/>
      <w:suff w:val="nothing"/>
    </w:lvl>
  </w:abstractNum>
  <w:abstractNum w:abstractNumId="1">
    <w:nsid w:val="00000002"/>
    <w:lvl w:ilvl="0">
      <w:isLgl w:val="false"/>
      <w:lvlJc w:val="left"/>
      <w:lvlText w:val=""/>
      <w:numFmt w:val="bullet"/>
      <w:pPr>
        <w:pBdr/>
        <w:tabs>
          <w:tab w:val="num" w:leader="none" w:pos="0"/>
        </w:tabs>
        <w:spacing/>
        <w:ind w:hanging="360" w:left="720"/>
      </w:pPr>
      <w:rPr>
        <w:rFonts w:hint="default" w:ascii="Symbol" w:hAnsi="Symbol" w:cs="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0000003"/>
    <w:lvl w:ilvl="0">
      <w:isLgl w:val="false"/>
      <w:lvlJc w:val="left"/>
      <w:lvlText w:val="(%1)"/>
      <w:numFmt w:val="decimal"/>
      <w:pPr>
        <w:pBdr/>
        <w:tabs>
          <w:tab w:val="num" w:leader="none" w:pos="785"/>
        </w:tabs>
        <w:spacing/>
        <w:ind w:firstLine="425" w:left="0"/>
      </w:pPr>
      <w:pStyle w:val="914"/>
      <w:rPr/>
      <w:start w:val="1"/>
      <w:suff w:val="tab"/>
    </w:lvl>
    <w:lvl w:ilvl="1">
      <w:isLgl w:val="false"/>
      <w:lvlJc w:val="left"/>
      <w:lvlText w:val="%2."/>
      <w:numFmt w:val="decimal"/>
      <w:pPr>
        <w:pBdr/>
        <w:tabs>
          <w:tab w:val="num" w:leader="none" w:pos="425"/>
        </w:tabs>
        <w:spacing/>
        <w:ind w:hanging="425" w:left="425"/>
      </w:pPr>
      <w:rPr>
        <w:b/>
      </w:rPr>
      <w:start w:val="1"/>
      <w:suff w:val="tab"/>
    </w:lvl>
    <w:lvl w:ilvl="2">
      <w:isLgl w:val="false"/>
      <w:lvlJc w:val="left"/>
      <w:lvlText w:val="%3."/>
      <w:numFmt w:val="decimal"/>
      <w:pPr>
        <w:pBdr/>
        <w:tabs>
          <w:tab w:val="num" w:leader="none" w:pos="851"/>
        </w:tabs>
        <w:spacing/>
        <w:ind w:hanging="426" w:left="851"/>
      </w:pPr>
      <w:rPr/>
      <w:start w:val="1"/>
      <w:suff w:val="tab"/>
    </w:lvl>
    <w:lvl w:ilvl="3">
      <w:isLgl w:val="false"/>
      <w:lvlJc w:val="left"/>
      <w:lvlText w:val="(%4)"/>
      <w:numFmt w:val="decimal"/>
      <w:pPr>
        <w:pBdr/>
        <w:tabs>
          <w:tab w:val="num" w:leader="none" w:pos="1440"/>
        </w:tabs>
        <w:spacing/>
        <w:ind w:hanging="360" w:left="144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52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600"/>
        </w:tabs>
        <w:spacing/>
        <w:ind w:hanging="360" w:left="3240"/>
      </w:pPr>
      <w:rPr/>
      <w:start w:val="1"/>
      <w:suff w:val="tab"/>
    </w:lvl>
  </w:abstractNum>
  <w:abstractNum w:abstractNumId="3">
    <w:nsid w:val="00000005"/>
    <w:lvl w:ilvl="0">
      <w:isLgl w:val="false"/>
      <w:lvlJc w:val="left"/>
      <w:lvlText w:val="%1"/>
      <w:numFmt w:val="decimal"/>
      <w:pPr>
        <w:pBdr/>
        <w:tabs>
          <w:tab w:val="num" w:leader="none" w:pos="288"/>
        </w:tabs>
        <w:spacing/>
        <w:ind w:hanging="288" w:left="288"/>
      </w:pPr>
      <w:pStyle w:val="919"/>
      <w:rPr/>
      <w:start w:val="1"/>
      <w:suff w:val="tab"/>
    </w:lvl>
    <w:lvl w:ilvl="1">
      <w:isLgl w:val="false"/>
      <w:lvlJc w:val="left"/>
      <w:lvlText w:val="%2."/>
      <w:numFmt w:val="decimal"/>
      <w:pPr>
        <w:pBdr/>
        <w:tabs>
          <w:tab w:val="num" w:leader="none" w:pos="1080"/>
        </w:tabs>
        <w:spacing/>
        <w:ind w:hanging="360" w:left="1080"/>
      </w:pPr>
      <w:rPr/>
      <w:start w:val="1"/>
      <w:suff w:val="tab"/>
    </w:lvl>
    <w:lvl w:ilvl="2">
      <w:isLgl w:val="false"/>
      <w:lvlJc w:val="left"/>
      <w:lvlText w:val="%3."/>
      <w:numFmt w:val="decimal"/>
      <w:pPr>
        <w:pBdr/>
        <w:tabs>
          <w:tab w:val="num" w:leader="none" w:pos="1440"/>
        </w:tabs>
        <w:spacing/>
        <w:ind w:hanging="360" w:left="1440"/>
      </w:pPr>
      <w:rPr/>
      <w:start w:val="1"/>
      <w:suff w:val="tab"/>
    </w:lvl>
    <w:lvl w:ilvl="3">
      <w:isLgl w:val="false"/>
      <w:lvlJc w:val="left"/>
      <w:lvlText w:val="%4."/>
      <w:numFmt w:val="decimal"/>
      <w:pPr>
        <w:pBdr/>
        <w:tabs>
          <w:tab w:val="num" w:leader="none" w:pos="1800"/>
        </w:tabs>
        <w:spacing/>
        <w:ind w:hanging="360" w:left="1800"/>
      </w:pPr>
      <w:rPr/>
      <w:start w:val="1"/>
      <w:suff w:val="tab"/>
    </w:lvl>
    <w:lvl w:ilvl="4">
      <w:isLgl w:val="false"/>
      <w:lvlJc w:val="left"/>
      <w:lvlText w:val="%5."/>
      <w:numFmt w:val="decimal"/>
      <w:pPr>
        <w:pBdr/>
        <w:tabs>
          <w:tab w:val="num" w:leader="none" w:pos="2160"/>
        </w:tabs>
        <w:spacing/>
        <w:ind w:hanging="360" w:left="2160"/>
      </w:pPr>
      <w:rPr/>
      <w:start w:val="1"/>
      <w:suff w:val="tab"/>
    </w:lvl>
    <w:lvl w:ilvl="5">
      <w:isLgl w:val="false"/>
      <w:lvlJc w:val="left"/>
      <w:lvlText w:val="%6."/>
      <w:numFmt w:val="decimal"/>
      <w:pPr>
        <w:pBdr/>
        <w:tabs>
          <w:tab w:val="num" w:leader="none" w:pos="2520"/>
        </w:tabs>
        <w:spacing/>
        <w:ind w:hanging="360" w:left="2520"/>
      </w:pPr>
      <w:rPr/>
      <w:start w:val="1"/>
      <w:suff w:val="tab"/>
    </w:lvl>
    <w:lvl w:ilvl="6">
      <w:isLgl w:val="false"/>
      <w:lvlJc w:val="left"/>
      <w:lvlText w:val="%7."/>
      <w:numFmt w:val="decimal"/>
      <w:pPr>
        <w:pBdr/>
        <w:tabs>
          <w:tab w:val="num" w:leader="none" w:pos="2880"/>
        </w:tabs>
        <w:spacing/>
        <w:ind w:hanging="360" w:left="2880"/>
      </w:pPr>
      <w:rPr/>
      <w:start w:val="1"/>
      <w:suff w:val="tab"/>
    </w:lvl>
    <w:lvl w:ilvl="7">
      <w:isLgl w:val="false"/>
      <w:lvlJc w:val="left"/>
      <w:lvlText w:val="%8."/>
      <w:numFmt w:val="decimal"/>
      <w:pPr>
        <w:pBdr/>
        <w:tabs>
          <w:tab w:val="num" w:leader="none" w:pos="3240"/>
        </w:tabs>
        <w:spacing/>
        <w:ind w:hanging="360" w:left="3240"/>
      </w:pPr>
      <w:rPr/>
      <w:start w:val="1"/>
      <w:suff w:val="tab"/>
    </w:lvl>
    <w:lvl w:ilvl="8">
      <w:isLgl w:val="false"/>
      <w:lvlJc w:val="left"/>
      <w:lvlText w:val="%9."/>
      <w:numFmt w:val="decimal"/>
      <w:pPr>
        <w:pBdr/>
        <w:tabs>
          <w:tab w:val="num" w:leader="none" w:pos="3600"/>
        </w:tabs>
        <w:spacing/>
        <w:ind w:hanging="360" w:left="3600"/>
      </w:pPr>
      <w:rPr/>
      <w:start w:val="1"/>
      <w:suff w:val="tab"/>
    </w:lvl>
  </w:abstractNum>
  <w:abstractNum w:abstractNumId="4">
    <w:nsid w:val="027E4C07"/>
    <w:lvl w:ilvl="0">
      <w:isLgl w:val="false"/>
      <w:lvlJc w:val="left"/>
      <w:lvlText w:val="%1."/>
      <w:numFmt w:val="decimal"/>
      <w:pPr>
        <w:pBdr/>
        <w:tabs>
          <w:tab w:val="num" w:leader="none" w:pos="720"/>
        </w:tabs>
        <w:spacing/>
        <w:ind w:hanging="720" w:left="720"/>
      </w:pPr>
      <w:pStyle w:val="813"/>
      <w:rPr/>
      <w:start w:val="1"/>
      <w:suff w:val="tab"/>
    </w:lvl>
    <w:lvl w:ilvl="1">
      <w:isLgl w:val="false"/>
      <w:lvlJc w:val="left"/>
      <w:lvlText w:val="%2."/>
      <w:numFmt w:val="decimal"/>
      <w:pPr>
        <w:pBdr/>
        <w:tabs>
          <w:tab w:val="num" w:leader="none" w:pos="1440"/>
        </w:tabs>
        <w:spacing/>
        <w:ind w:hanging="720" w:left="1440"/>
      </w:pPr>
      <w:rPr/>
      <w:start w:val="1"/>
      <w:suff w:val="tab"/>
    </w:lvl>
    <w:lvl w:ilvl="2">
      <w:isLgl w:val="false"/>
      <w:lvlJc w:val="left"/>
      <w:lvlText w:val="%3."/>
      <w:numFmt w:val="decimal"/>
      <w:pPr>
        <w:pBdr/>
        <w:tabs>
          <w:tab w:val="num" w:leader="none" w:pos="2160"/>
        </w:tabs>
        <w:spacing/>
        <w:ind w:hanging="720" w:left="2160"/>
      </w:pPr>
      <w:rPr/>
      <w:start w:val="1"/>
      <w:suff w:val="tab"/>
    </w:lvl>
    <w:lvl w:ilvl="3">
      <w:isLgl w:val="false"/>
      <w:lvlJc w:val="left"/>
      <w:lvlText w:val="%4."/>
      <w:numFmt w:val="decimal"/>
      <w:pPr>
        <w:pBdr/>
        <w:tabs>
          <w:tab w:val="num" w:leader="none" w:pos="2880"/>
        </w:tabs>
        <w:spacing/>
        <w:ind w:hanging="720" w:left="2880"/>
      </w:pPr>
      <w:rPr/>
      <w:start w:val="1"/>
      <w:suff w:val="tab"/>
    </w:lvl>
    <w:lvl w:ilvl="4">
      <w:isLgl w:val="false"/>
      <w:lvlJc w:val="left"/>
      <w:lvlText w:val="%5."/>
      <w:numFmt w:val="decimal"/>
      <w:pPr>
        <w:pBdr/>
        <w:tabs>
          <w:tab w:val="num" w:leader="none" w:pos="3600"/>
        </w:tabs>
        <w:spacing/>
        <w:ind w:hanging="720" w:left="3600"/>
      </w:pPr>
      <w:rPr/>
      <w:start w:val="1"/>
      <w:suff w:val="tab"/>
    </w:lvl>
    <w:lvl w:ilvl="5">
      <w:isLgl w:val="false"/>
      <w:lvlJc w:val="left"/>
      <w:lvlText w:val="%6."/>
      <w:numFmt w:val="decimal"/>
      <w:pPr>
        <w:pBdr/>
        <w:tabs>
          <w:tab w:val="num" w:leader="none" w:pos="4320"/>
        </w:tabs>
        <w:spacing/>
        <w:ind w:hanging="720" w:left="4320"/>
      </w:pPr>
      <w:rPr/>
      <w:start w:val="1"/>
      <w:suff w:val="tab"/>
    </w:lvl>
    <w:lvl w:ilvl="6">
      <w:isLgl w:val="false"/>
      <w:lvlJc w:val="left"/>
      <w:lvlText w:val="%7."/>
      <w:numFmt w:val="decimal"/>
      <w:pPr>
        <w:pBdr/>
        <w:tabs>
          <w:tab w:val="num" w:leader="none" w:pos="5040"/>
        </w:tabs>
        <w:spacing/>
        <w:ind w:hanging="720" w:left="5040"/>
      </w:pPr>
      <w:rPr/>
      <w:start w:val="1"/>
      <w:suff w:val="tab"/>
    </w:lvl>
    <w:lvl w:ilvl="7">
      <w:isLgl w:val="false"/>
      <w:lvlJc w:val="left"/>
      <w:lvlText w:val="%8."/>
      <w:numFmt w:val="decimal"/>
      <w:pPr>
        <w:pBdr/>
        <w:tabs>
          <w:tab w:val="num" w:leader="none" w:pos="5760"/>
        </w:tabs>
        <w:spacing/>
        <w:ind w:hanging="720" w:left="5760"/>
      </w:pPr>
      <w:rPr/>
      <w:start w:val="1"/>
      <w:suff w:val="tab"/>
    </w:lvl>
    <w:lvl w:ilvl="8">
      <w:isLgl w:val="false"/>
      <w:lvlJc w:val="left"/>
      <w:lvlText w:val="%9."/>
      <w:numFmt w:val="decimal"/>
      <w:pPr>
        <w:pBdr/>
        <w:tabs>
          <w:tab w:val="num" w:leader="none" w:pos="6480"/>
        </w:tabs>
        <w:spacing/>
        <w:ind w:hanging="720" w:left="6480"/>
      </w:pPr>
      <w:rPr/>
      <w:start w:val="1"/>
      <w:suff w:val="tab"/>
    </w:lvl>
  </w:abstractNum>
  <w:abstractNum w:abstractNumId="5">
    <w:nsid w:val="0616373F"/>
    <w:lvl w:ilvl="0">
      <w:isLgl w:val="false"/>
      <w:lvlJc w:val="left"/>
      <w:lvlText w:val="B.%1"/>
      <w:numFmt w:val="decimal"/>
      <w:pPr>
        <w:pBdr/>
        <w:spacing/>
        <w:ind w:hanging="360" w:left="360"/>
      </w:pPr>
      <w:rPr>
        <w:rFonts w:hint="default"/>
      </w:rPr>
      <w:start w:val="1"/>
      <w:suff w:val="tab"/>
    </w:lvl>
    <w:lvl w:ilvl="1">
      <w:isLgl w:val="false"/>
      <w:lvlJc w:val="left"/>
      <w:lvlText w:val="B.%1.%2"/>
      <w:numFmt w:val="decimal"/>
      <w:pPr>
        <w:pBdr/>
        <w:spacing/>
        <w:ind w:hanging="360" w:left="720"/>
      </w:pPr>
      <w:rPr>
        <w:rFonts w:hint="default"/>
      </w:rPr>
      <w:start w:val="1"/>
      <w:suff w:val="tab"/>
    </w:lvl>
    <w:lvl w:ilvl="2">
      <w:isLgl w:val="false"/>
      <w:lvlJc w:val="left"/>
      <w:lvlText w:val="a)"/>
      <w:numFmt w:val="none"/>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6">
    <w:nsid w:val="07491FEC"/>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085F5E41"/>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8">
    <w:nsid w:val="09A478CE"/>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9">
    <w:nsid w:val="18CF02E4"/>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0">
    <w:nsid w:val="1FAA7A60"/>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1">
    <w:nsid w:val="22763F6E"/>
    <w:lvl w:ilvl="0">
      <w:isLgl w:val="false"/>
      <w:lvlJc w:val="left"/>
      <w:lvlText w:val="B.%1"/>
      <w:numFmt w:val="decimal"/>
      <w:pPr>
        <w:pBdr/>
        <w:spacing/>
        <w:ind w:hanging="360" w:left="360"/>
      </w:pPr>
      <w:rPr>
        <w:rFonts w:hint="default"/>
        <w:b/>
        <w:sz w:val="24"/>
      </w:rPr>
      <w:start w:val="1"/>
      <w:suff w:val="tab"/>
    </w:lvl>
    <w:lvl w:ilvl="1">
      <w:isLgl w:val="false"/>
      <w:lvlJc w:val="left"/>
      <w:lvlText w:val="B.%1.%2"/>
      <w:numFmt w:val="decimal"/>
      <w:pPr>
        <w:pBdr/>
        <w:spacing/>
        <w:ind w:hanging="360" w:left="360"/>
      </w:pPr>
      <w:rPr>
        <w:rFonts w:hint="default"/>
        <w:b/>
      </w:rPr>
      <w:start w:val="1"/>
      <w:suff w:val="tab"/>
    </w:lvl>
    <w:lvl w:ilvl="2">
      <w:isLgl w:val="false"/>
      <w:lvlJc w:val="left"/>
      <w:lvlText w:val="%3)"/>
      <w:numFmt w:val="lowerLetter"/>
      <w:pPr>
        <w:pBdr/>
        <w:spacing/>
        <w:ind w:hanging="360" w:left="1080"/>
      </w:pPr>
      <w:rPr>
        <w:rFonts w:hint="default"/>
        <w:sz w:val="22"/>
        <w:szCs w:val="22"/>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2">
    <w:nsid w:val="25BF446D"/>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3">
    <w:nsid w:val="26856D4C"/>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4">
    <w:nsid w:val="273146BE"/>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5">
    <w:nsid w:val="30463648"/>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nsid w:val="30EB52CF"/>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7">
    <w:nsid w:val="43B36629"/>
    <w:lvl w:ilvl="0">
      <w:isLgl w:val="false"/>
      <w:lvlJc w:val="left"/>
      <w:lvlText w:val=""/>
      <w:numFmt w:val="bullet"/>
      <w:pPr>
        <w:pBdr/>
        <w:spacing/>
        <w:ind w:hanging="360" w:left="1283"/>
      </w:pPr>
      <w:rPr>
        <w:rFonts w:hint="default" w:ascii="Wingdings" w:hAnsi="Wingdings"/>
      </w:rPr>
      <w:start w:val="1"/>
      <w:suff w:val="tab"/>
    </w:lvl>
    <w:lvl w:ilvl="1">
      <w:isLgl w:val="false"/>
      <w:lvlJc w:val="left"/>
      <w:lvlText w:val="o"/>
      <w:numFmt w:val="bullet"/>
      <w:pPr>
        <w:pBdr/>
        <w:spacing/>
        <w:ind w:hanging="360" w:left="2003"/>
      </w:pPr>
      <w:rPr>
        <w:rFonts w:hint="default" w:ascii="Courier New" w:hAnsi="Courier New" w:cs="Courier New"/>
      </w:rPr>
      <w:start w:val="1"/>
      <w:suff w:val="tab"/>
    </w:lvl>
    <w:lvl w:ilvl="2">
      <w:isLgl w:val="false"/>
      <w:lvlJc w:val="left"/>
      <w:lvlText w:val=""/>
      <w:numFmt w:val="bullet"/>
      <w:pPr>
        <w:pBdr/>
        <w:spacing/>
        <w:ind w:hanging="360" w:left="2723"/>
      </w:pPr>
      <w:rPr>
        <w:rFonts w:hint="default" w:ascii="Wingdings" w:hAnsi="Wingdings"/>
      </w:rPr>
      <w:start w:val="1"/>
      <w:suff w:val="tab"/>
    </w:lvl>
    <w:lvl w:ilvl="3">
      <w:isLgl w:val="false"/>
      <w:lvlJc w:val="left"/>
      <w:lvlText w:val=""/>
      <w:numFmt w:val="bullet"/>
      <w:pPr>
        <w:pBdr/>
        <w:spacing/>
        <w:ind w:hanging="360" w:left="3443"/>
      </w:pPr>
      <w:rPr>
        <w:rFonts w:hint="default" w:ascii="Symbol" w:hAnsi="Symbol"/>
      </w:rPr>
      <w:start w:val="1"/>
      <w:suff w:val="tab"/>
    </w:lvl>
    <w:lvl w:ilvl="4">
      <w:isLgl w:val="false"/>
      <w:lvlJc w:val="left"/>
      <w:lvlText w:val="o"/>
      <w:numFmt w:val="bullet"/>
      <w:pPr>
        <w:pBdr/>
        <w:spacing/>
        <w:ind w:hanging="360" w:left="4163"/>
      </w:pPr>
      <w:rPr>
        <w:rFonts w:hint="default" w:ascii="Courier New" w:hAnsi="Courier New" w:cs="Courier New"/>
      </w:rPr>
      <w:start w:val="1"/>
      <w:suff w:val="tab"/>
    </w:lvl>
    <w:lvl w:ilvl="5">
      <w:isLgl w:val="false"/>
      <w:lvlJc w:val="left"/>
      <w:lvlText w:val=""/>
      <w:numFmt w:val="bullet"/>
      <w:pPr>
        <w:pBdr/>
        <w:spacing/>
        <w:ind w:hanging="360" w:left="4883"/>
      </w:pPr>
      <w:rPr>
        <w:rFonts w:hint="default" w:ascii="Wingdings" w:hAnsi="Wingdings"/>
      </w:rPr>
      <w:start w:val="1"/>
      <w:suff w:val="tab"/>
    </w:lvl>
    <w:lvl w:ilvl="6">
      <w:isLgl w:val="false"/>
      <w:lvlJc w:val="left"/>
      <w:lvlText w:val=""/>
      <w:numFmt w:val="bullet"/>
      <w:pPr>
        <w:pBdr/>
        <w:spacing/>
        <w:ind w:hanging="360" w:left="5603"/>
      </w:pPr>
      <w:rPr>
        <w:rFonts w:hint="default" w:ascii="Symbol" w:hAnsi="Symbol"/>
      </w:rPr>
      <w:start w:val="1"/>
      <w:suff w:val="tab"/>
    </w:lvl>
    <w:lvl w:ilvl="7">
      <w:isLgl w:val="false"/>
      <w:lvlJc w:val="left"/>
      <w:lvlText w:val="o"/>
      <w:numFmt w:val="bullet"/>
      <w:pPr>
        <w:pBdr/>
        <w:spacing/>
        <w:ind w:hanging="360" w:left="6323"/>
      </w:pPr>
      <w:rPr>
        <w:rFonts w:hint="default" w:ascii="Courier New" w:hAnsi="Courier New" w:cs="Courier New"/>
      </w:rPr>
      <w:start w:val="1"/>
      <w:suff w:val="tab"/>
    </w:lvl>
    <w:lvl w:ilvl="8">
      <w:isLgl w:val="false"/>
      <w:lvlJc w:val="left"/>
      <w:lvlText w:val=""/>
      <w:numFmt w:val="bullet"/>
      <w:pPr>
        <w:pBdr/>
        <w:spacing/>
        <w:ind w:hanging="360" w:left="7043"/>
      </w:pPr>
      <w:rPr>
        <w:rFonts w:hint="default" w:ascii="Wingdings" w:hAnsi="Wingdings"/>
      </w:rPr>
      <w:start w:val="1"/>
      <w:suff w:val="tab"/>
    </w:lvl>
  </w:abstractNum>
  <w:abstractNum w:abstractNumId="18">
    <w:nsid w:val="4AB719CC"/>
    <w:lvl w:ilvl="0">
      <w:isLgl w:val="false"/>
      <w:lvlJc w:val="left"/>
      <w:lvlText w:val="B.%1"/>
      <w:numFmt w:val="decimal"/>
      <w:pPr>
        <w:pBdr/>
        <w:spacing/>
        <w:ind w:hanging="360" w:left="360"/>
      </w:pPr>
      <w:rPr>
        <w:rFonts w:hint="default"/>
      </w:rPr>
      <w:start w:val="1"/>
      <w:suff w:val="tab"/>
    </w:lvl>
    <w:lvl w:ilvl="1">
      <w:isLgl w:val="false"/>
      <w:lvlJc w:val="left"/>
      <w:lvlText w:val="B.%1.%2"/>
      <w:numFmt w:val="decimal"/>
      <w:pPr>
        <w:pBdr/>
        <w:spacing/>
        <w:ind w:hanging="360" w:left="720"/>
      </w:pPr>
      <w:rPr>
        <w:rFonts w:hint="default"/>
      </w:rPr>
      <w:start w:val="1"/>
      <w:suff w:val="tab"/>
    </w:lvl>
    <w:lvl w:ilvl="2">
      <w:isLgl w:val="false"/>
      <w:lvlJc w:val="left"/>
      <w:lvlText w:val="%3a)"/>
      <w:numFmt w:val="none"/>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9">
    <w:nsid w:val="4B3F7B74"/>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0">
    <w:nsid w:val="58434F1B"/>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1">
    <w:nsid w:val="58A14FF0"/>
    <w:lvl w:ilvl="0">
      <w:isLgl w:val="false"/>
      <w:lvlJc w:val="left"/>
      <w:lvlText w:val="-"/>
      <w:numFmt w:val="bullet"/>
      <w:pPr>
        <w:pBdr/>
        <w:spacing/>
        <w:ind w:hanging="360" w:left="720"/>
      </w:pPr>
      <w:rPr>
        <w:rFonts w:hint="default" w:ascii="Calibri" w:hAnsi="Calibri" w:eastAsia="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5FFD44D6"/>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60DA666C"/>
    <w:lvl w:ilvl="0">
      <w:isLgl w:val="false"/>
      <w:lvlJc w:val="left"/>
      <w:lvlText w:val="B.%1"/>
      <w:numFmt w:val="decimal"/>
      <w:pPr>
        <w:pBdr/>
        <w:spacing/>
        <w:ind w:hanging="360" w:left="360"/>
      </w:pPr>
      <w:rPr>
        <w:rFonts w:hint="default"/>
      </w:rPr>
      <w:start w:val="1"/>
      <w:suff w:val="tab"/>
    </w:lvl>
    <w:lvl w:ilvl="1">
      <w:isLgl w:val="false"/>
      <w:lvlJc w:val="left"/>
      <w:lvlText w:val="B.%1.%2"/>
      <w:numFmt w:val="decimal"/>
      <w:pPr>
        <w:pBdr/>
        <w:spacing/>
        <w:ind w:hanging="360" w:left="720"/>
      </w:pPr>
      <w:rPr>
        <w:rFonts w:hint="default"/>
      </w:rPr>
      <w:start w:val="1"/>
      <w:suff w:val="tab"/>
    </w:lvl>
    <w:lvl w:ilvl="2">
      <w:isLgl w:val="false"/>
      <w:lvlJc w:val="left"/>
      <w:lvlText w:val="%3)"/>
      <w:numFmt w:val="lowerLetter"/>
      <w:pPr>
        <w:pBdr/>
        <w:spacing/>
        <w:ind w:hanging="360" w:left="1080"/>
      </w:pPr>
      <w:rPr>
        <w:rFonts w:hint="default"/>
        <w:sz w:val="22"/>
        <w:szCs w:val="22"/>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4">
    <w:nsid w:val="68165151"/>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5">
    <w:nsid w:val="681A0792"/>
    <w:lvl w:ilvl="0">
      <w:isLgl w:val="false"/>
      <w:lvlJc w:val="left"/>
      <w:lvlText w:val="B.%1"/>
      <w:numFmt w:val="decimal"/>
      <w:pPr>
        <w:pBdr/>
        <w:spacing/>
        <w:ind w:hanging="360" w:left="360"/>
      </w:pPr>
      <w:rPr>
        <w:rFonts w:hint="default"/>
      </w:rPr>
      <w:start w:val="1"/>
      <w:suff w:val="tab"/>
    </w:lvl>
    <w:lvl w:ilvl="1">
      <w:isLgl w:val="false"/>
      <w:lvlJc w:val="left"/>
      <w:lvlText w:val="B.%1.%2"/>
      <w:numFmt w:val="decimal"/>
      <w:pPr>
        <w:pBdr/>
        <w:spacing/>
        <w:ind w:hanging="360" w:left="720"/>
      </w:pPr>
      <w:rPr>
        <w:rFonts w:hint="default"/>
      </w:rPr>
      <w:start w:val="1"/>
      <w:suff w:val="tab"/>
    </w:lvl>
    <w:lvl w:ilvl="2">
      <w:isLgl w:val="false"/>
      <w:lvlJc w:val="left"/>
      <w:lvlText w:val="%3a)"/>
      <w:numFmt w:val="none"/>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6">
    <w:nsid w:val="69EB1B65"/>
    <w:lvl w:ilvl="0">
      <w:isLgl w:val="false"/>
      <w:lvlJc w:val="left"/>
      <w:lvlText w:val="%1)"/>
      <w:numFmt w:val="decimal"/>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nsid w:val="6C6E0023"/>
    <w:lvl w:ilvl="0">
      <w:isLgl w:val="false"/>
      <w:lvlJc w:val="left"/>
      <w:lvlText w:val=""/>
      <w:numFmt w:val="bullet"/>
      <w:pPr>
        <w:pBdr/>
        <w:tabs>
          <w:tab w:val="num" w:leader="none" w:pos="1287"/>
        </w:tabs>
        <w:spacing/>
        <w:ind w:hanging="360" w:left="1287"/>
      </w:pPr>
      <w:rPr>
        <w:rFonts w:hint="default" w:ascii="Symbol" w:hAnsi="Symbol"/>
      </w:rPr>
      <w:start w:val="1"/>
      <w:suff w:val="tab"/>
    </w:lvl>
    <w:lvl w:ilvl="1">
      <w:isLgl w:val="false"/>
      <w:lvlJc w:val="left"/>
      <w:lvlText w:val="%2)"/>
      <w:numFmt w:val="lowerLetter"/>
      <w:pPr>
        <w:pBdr/>
        <w:tabs>
          <w:tab w:val="num" w:leader="none" w:pos="2520"/>
        </w:tabs>
        <w:spacing/>
        <w:ind w:hanging="360" w:left="2520"/>
      </w:pPr>
      <w:rPr>
        <w:rFonts w:hint="default"/>
      </w:rPr>
      <w:start w:val="1"/>
      <w:suff w:val="tab"/>
    </w:lvl>
    <w:lvl w:ilvl="2">
      <w:isLgl w:val="false"/>
      <w:lvlJc w:val="left"/>
      <w:lvlText w:val=""/>
      <w:numFmt w:val="bullet"/>
      <w:pPr>
        <w:pBdr/>
        <w:tabs>
          <w:tab w:val="num" w:leader="none" w:pos="2727"/>
        </w:tabs>
        <w:spacing/>
        <w:ind w:hanging="360" w:left="2727"/>
      </w:pPr>
      <w:rPr>
        <w:rFonts w:hint="default" w:ascii="Wingdings" w:hAnsi="Wingdings"/>
      </w:rPr>
      <w:start w:val="1"/>
      <w:suff w:val="tab"/>
    </w:lvl>
    <w:lvl w:ilvl="3">
      <w:isLgl w:val="false"/>
      <w:lvlJc w:val="left"/>
      <w:lvlText w:val=""/>
      <w:numFmt w:val="bullet"/>
      <w:pPr>
        <w:pBdr/>
        <w:tabs>
          <w:tab w:val="num" w:leader="none" w:pos="3447"/>
        </w:tabs>
        <w:spacing/>
        <w:ind w:hanging="360" w:left="3447"/>
      </w:pPr>
      <w:rPr>
        <w:rFonts w:hint="default" w:ascii="Symbol" w:hAnsi="Symbol"/>
      </w:rPr>
      <w:start w:val="1"/>
      <w:suff w:val="tab"/>
    </w:lvl>
    <w:lvl w:ilvl="4">
      <w:isLgl w:val="false"/>
      <w:lvlJc w:val="left"/>
      <w:lvlText w:val="o"/>
      <w:numFmt w:val="bullet"/>
      <w:pPr>
        <w:pBdr/>
        <w:tabs>
          <w:tab w:val="num" w:leader="none" w:pos="4167"/>
        </w:tabs>
        <w:spacing/>
        <w:ind w:hanging="360" w:left="4167"/>
      </w:pPr>
      <w:rPr>
        <w:rFonts w:hint="default" w:ascii="Courier New" w:hAnsi="Courier New" w:cs="Courier New"/>
      </w:rPr>
      <w:start w:val="1"/>
      <w:suff w:val="tab"/>
    </w:lvl>
    <w:lvl w:ilvl="5">
      <w:isLgl w:val="false"/>
      <w:lvlJc w:val="left"/>
      <w:lvlText w:val=""/>
      <w:numFmt w:val="bullet"/>
      <w:pPr>
        <w:pBdr/>
        <w:tabs>
          <w:tab w:val="num" w:leader="none" w:pos="4887"/>
        </w:tabs>
        <w:spacing/>
        <w:ind w:hanging="360" w:left="4887"/>
      </w:pPr>
      <w:rPr>
        <w:rFonts w:hint="default" w:ascii="Wingdings" w:hAnsi="Wingdings"/>
      </w:rPr>
      <w:start w:val="1"/>
      <w:suff w:val="tab"/>
    </w:lvl>
    <w:lvl w:ilvl="6">
      <w:isLgl w:val="false"/>
      <w:lvlJc w:val="left"/>
      <w:lvlText w:val=""/>
      <w:numFmt w:val="bullet"/>
      <w:pPr>
        <w:pBdr/>
        <w:tabs>
          <w:tab w:val="num" w:leader="none" w:pos="5607"/>
        </w:tabs>
        <w:spacing/>
        <w:ind w:hanging="360" w:left="5607"/>
      </w:pPr>
      <w:rPr>
        <w:rFonts w:hint="default" w:ascii="Symbol" w:hAnsi="Symbol"/>
      </w:rPr>
      <w:start w:val="1"/>
      <w:suff w:val="tab"/>
    </w:lvl>
    <w:lvl w:ilvl="7">
      <w:isLgl w:val="false"/>
      <w:lvlJc w:val="left"/>
      <w:lvlText w:val="o"/>
      <w:numFmt w:val="bullet"/>
      <w:pPr>
        <w:pBdr/>
        <w:tabs>
          <w:tab w:val="num" w:leader="none" w:pos="6327"/>
        </w:tabs>
        <w:spacing/>
        <w:ind w:hanging="360" w:left="6327"/>
      </w:pPr>
      <w:rPr>
        <w:rFonts w:hint="default" w:ascii="Courier New" w:hAnsi="Courier New" w:cs="Courier New"/>
      </w:rPr>
      <w:start w:val="1"/>
      <w:suff w:val="tab"/>
    </w:lvl>
    <w:lvl w:ilvl="8">
      <w:isLgl w:val="false"/>
      <w:lvlJc w:val="left"/>
      <w:lvlText w:val=""/>
      <w:numFmt w:val="bullet"/>
      <w:pPr>
        <w:pBdr/>
        <w:tabs>
          <w:tab w:val="num" w:leader="none" w:pos="7047"/>
        </w:tabs>
        <w:spacing/>
        <w:ind w:hanging="360" w:left="7047"/>
      </w:pPr>
      <w:rPr>
        <w:rFonts w:hint="default" w:ascii="Wingdings" w:hAnsi="Wingdings"/>
      </w:rPr>
      <w:start w:val="1"/>
      <w:suff w:val="tab"/>
    </w:lvl>
  </w:abstractNum>
  <w:abstractNum w:abstractNumId="28">
    <w:nsid w:val="6F235BF6"/>
    <w:lvl w:ilvl="0">
      <w:isLgl w:val="false"/>
      <w:lvlJc w:val="left"/>
      <w:lvlText w:val=""/>
      <w:numFmt w:val="bullet"/>
      <w:pPr>
        <w:pBdr/>
        <w:tabs>
          <w:tab w:val="num" w:leader="none" w:pos="1287"/>
        </w:tabs>
        <w:spacing/>
        <w:ind w:hanging="360" w:left="1287"/>
      </w:pPr>
      <w:rPr>
        <w:rFonts w:hint="default" w:ascii="Symbol" w:hAnsi="Symbol"/>
      </w:rPr>
      <w:start w:val="1"/>
      <w:suff w:val="tab"/>
    </w:lvl>
    <w:lvl w:ilvl="1">
      <w:isLgl w:val="false"/>
      <w:lvlJc w:val="left"/>
      <w:lvlText w:val="o"/>
      <w:numFmt w:val="bullet"/>
      <w:pPr>
        <w:pBdr/>
        <w:tabs>
          <w:tab w:val="num" w:leader="none" w:pos="2007"/>
        </w:tabs>
        <w:spacing/>
        <w:ind w:hanging="360" w:left="2007"/>
      </w:pPr>
      <w:rPr>
        <w:rFonts w:hint="default" w:ascii="Courier New" w:hAnsi="Courier New" w:cs="Courier New"/>
      </w:rPr>
      <w:start w:val="1"/>
      <w:suff w:val="tab"/>
    </w:lvl>
    <w:lvl w:ilvl="2">
      <w:isLgl w:val="false"/>
      <w:lvlJc w:val="left"/>
      <w:lvlText w:val=""/>
      <w:numFmt w:val="bullet"/>
      <w:pPr>
        <w:pBdr/>
        <w:tabs>
          <w:tab w:val="num" w:leader="none" w:pos="2727"/>
        </w:tabs>
        <w:spacing/>
        <w:ind w:hanging="360" w:left="2727"/>
      </w:pPr>
      <w:rPr>
        <w:rFonts w:hint="default" w:ascii="Wingdings" w:hAnsi="Wingdings"/>
      </w:rPr>
      <w:start w:val="1"/>
      <w:suff w:val="tab"/>
    </w:lvl>
    <w:lvl w:ilvl="3">
      <w:isLgl w:val="false"/>
      <w:lvlJc w:val="left"/>
      <w:lvlText w:val=""/>
      <w:numFmt w:val="bullet"/>
      <w:pPr>
        <w:pBdr/>
        <w:tabs>
          <w:tab w:val="num" w:leader="none" w:pos="3447"/>
        </w:tabs>
        <w:spacing/>
        <w:ind w:hanging="360" w:left="3447"/>
      </w:pPr>
      <w:rPr>
        <w:rFonts w:hint="default" w:ascii="Symbol" w:hAnsi="Symbol"/>
      </w:rPr>
      <w:start w:val="1"/>
      <w:suff w:val="tab"/>
    </w:lvl>
    <w:lvl w:ilvl="4">
      <w:isLgl w:val="false"/>
      <w:lvlJc w:val="left"/>
      <w:lvlText w:val="o"/>
      <w:numFmt w:val="bullet"/>
      <w:pPr>
        <w:pBdr/>
        <w:tabs>
          <w:tab w:val="num" w:leader="none" w:pos="4167"/>
        </w:tabs>
        <w:spacing/>
        <w:ind w:hanging="360" w:left="4167"/>
      </w:pPr>
      <w:rPr>
        <w:rFonts w:hint="default" w:ascii="Courier New" w:hAnsi="Courier New" w:cs="Courier New"/>
      </w:rPr>
      <w:start w:val="1"/>
      <w:suff w:val="tab"/>
    </w:lvl>
    <w:lvl w:ilvl="5">
      <w:isLgl w:val="false"/>
      <w:lvlJc w:val="left"/>
      <w:lvlText w:val=""/>
      <w:numFmt w:val="bullet"/>
      <w:pPr>
        <w:pBdr/>
        <w:tabs>
          <w:tab w:val="num" w:leader="none" w:pos="4887"/>
        </w:tabs>
        <w:spacing/>
        <w:ind w:hanging="360" w:left="4887"/>
      </w:pPr>
      <w:rPr>
        <w:rFonts w:hint="default" w:ascii="Wingdings" w:hAnsi="Wingdings"/>
      </w:rPr>
      <w:start w:val="1"/>
      <w:suff w:val="tab"/>
    </w:lvl>
    <w:lvl w:ilvl="6">
      <w:isLgl w:val="false"/>
      <w:lvlJc w:val="left"/>
      <w:lvlText w:val=""/>
      <w:numFmt w:val="bullet"/>
      <w:pPr>
        <w:pBdr/>
        <w:tabs>
          <w:tab w:val="num" w:leader="none" w:pos="5607"/>
        </w:tabs>
        <w:spacing/>
        <w:ind w:hanging="360" w:left="5607"/>
      </w:pPr>
      <w:rPr>
        <w:rFonts w:hint="default" w:ascii="Symbol" w:hAnsi="Symbol"/>
      </w:rPr>
      <w:start w:val="1"/>
      <w:suff w:val="tab"/>
    </w:lvl>
    <w:lvl w:ilvl="7">
      <w:isLgl w:val="false"/>
      <w:lvlJc w:val="left"/>
      <w:lvlText w:val="o"/>
      <w:numFmt w:val="bullet"/>
      <w:pPr>
        <w:pBdr/>
        <w:tabs>
          <w:tab w:val="num" w:leader="none" w:pos="6327"/>
        </w:tabs>
        <w:spacing/>
        <w:ind w:hanging="360" w:left="6327"/>
      </w:pPr>
      <w:rPr>
        <w:rFonts w:hint="default" w:ascii="Courier New" w:hAnsi="Courier New" w:cs="Courier New"/>
      </w:rPr>
      <w:start w:val="1"/>
      <w:suff w:val="tab"/>
    </w:lvl>
    <w:lvl w:ilvl="8">
      <w:isLgl w:val="false"/>
      <w:lvlJc w:val="left"/>
      <w:lvlText w:val=""/>
      <w:numFmt w:val="bullet"/>
      <w:pPr>
        <w:pBdr/>
        <w:tabs>
          <w:tab w:val="num" w:leader="none" w:pos="7047"/>
        </w:tabs>
        <w:spacing/>
        <w:ind w:hanging="360" w:left="7047"/>
      </w:pPr>
      <w:rPr>
        <w:rFonts w:hint="default" w:ascii="Wingdings" w:hAnsi="Wingdings"/>
      </w:rPr>
      <w:start w:val="1"/>
      <w:suff w:val="tab"/>
    </w:lvl>
  </w:abstractNum>
  <w:abstractNum w:abstractNumId="29">
    <w:nsid w:val="6F851841"/>
    <w:lvl w:ilvl="0">
      <w:isLgl w:val="false"/>
      <w:lvlJc w:val="left"/>
      <w:lvlText w:val=""/>
      <w:numFmt w:val="bullet"/>
      <w:pPr>
        <w:pBdr/>
        <w:tabs>
          <w:tab w:val="num" w:leader="none" w:pos="1211"/>
        </w:tabs>
        <w:spacing/>
        <w:ind w:hanging="360" w:left="1211"/>
      </w:pPr>
      <w:rPr>
        <w:rFonts w:hint="default" w:ascii="Symbol" w:hAnsi="Symbol"/>
      </w:rPr>
      <w:start w:val="1"/>
      <w:suff w:val="tab"/>
    </w:lvl>
    <w:lvl w:ilvl="1">
      <w:isLgl w:val="false"/>
      <w:lvlJc w:val="left"/>
      <w:lvlText w:val="-"/>
      <w:numFmt w:val="bullet"/>
      <w:pPr>
        <w:pBdr/>
        <w:tabs>
          <w:tab w:val="num" w:leader="none" w:pos="1789"/>
        </w:tabs>
        <w:spacing/>
        <w:ind w:hanging="360" w:left="1789"/>
      </w:pPr>
      <w:rPr>
        <w:rFonts w:hint="default" w:ascii="Times New Roman" w:hAnsi="Times New Roman" w:eastAsia="Times New Roman" w:cs="Times New Roman"/>
      </w:rPr>
      <w:start w:val="1"/>
      <w:suff w:val="tab"/>
    </w:lvl>
    <w:lvl w:ilvl="2">
      <w:isLgl w:val="false"/>
      <w:lvlJc w:val="left"/>
      <w:lvlText w:val=""/>
      <w:numFmt w:val="bullet"/>
      <w:pPr>
        <w:pBdr/>
        <w:tabs>
          <w:tab w:val="num" w:leader="none" w:pos="2509"/>
        </w:tabs>
        <w:spacing/>
        <w:ind w:hanging="360" w:left="2509"/>
      </w:pPr>
      <w:rPr>
        <w:rFonts w:hint="default" w:ascii="Wingdings" w:hAnsi="Wingdings"/>
      </w:rPr>
      <w:start w:val="1"/>
      <w:suff w:val="tab"/>
    </w:lvl>
    <w:lvl w:ilvl="3">
      <w:isLgl w:val="false"/>
      <w:lvlJc w:val="left"/>
      <w:lvlText w:val=""/>
      <w:numFmt w:val="bullet"/>
      <w:pPr>
        <w:pBdr/>
        <w:tabs>
          <w:tab w:val="num" w:leader="none" w:pos="3229"/>
        </w:tabs>
        <w:spacing/>
        <w:ind w:hanging="360" w:left="3229"/>
      </w:pPr>
      <w:rPr>
        <w:rFonts w:hint="default" w:ascii="Symbol" w:hAnsi="Symbol"/>
      </w:rPr>
      <w:start w:val="1"/>
      <w:suff w:val="tab"/>
    </w:lvl>
    <w:lvl w:ilvl="4">
      <w:isLgl w:val="false"/>
      <w:lvlJc w:val="left"/>
      <w:lvlText w:val="o"/>
      <w:numFmt w:val="bullet"/>
      <w:pPr>
        <w:pBdr/>
        <w:tabs>
          <w:tab w:val="num" w:leader="none" w:pos="3949"/>
        </w:tabs>
        <w:spacing/>
        <w:ind w:hanging="360" w:left="3949"/>
      </w:pPr>
      <w:rPr>
        <w:rFonts w:hint="default" w:ascii="Courier New" w:hAnsi="Courier New" w:cs="Courier New"/>
      </w:rPr>
      <w:start w:val="1"/>
      <w:suff w:val="tab"/>
    </w:lvl>
    <w:lvl w:ilvl="5">
      <w:isLgl w:val="false"/>
      <w:lvlJc w:val="left"/>
      <w:lvlText w:val=""/>
      <w:numFmt w:val="bullet"/>
      <w:pPr>
        <w:pBdr/>
        <w:tabs>
          <w:tab w:val="num" w:leader="none" w:pos="4669"/>
        </w:tabs>
        <w:spacing/>
        <w:ind w:hanging="360" w:left="4669"/>
      </w:pPr>
      <w:rPr>
        <w:rFonts w:hint="default" w:ascii="Wingdings" w:hAnsi="Wingdings"/>
      </w:rPr>
      <w:start w:val="1"/>
      <w:suff w:val="tab"/>
    </w:lvl>
    <w:lvl w:ilvl="6">
      <w:isLgl w:val="false"/>
      <w:lvlJc w:val="left"/>
      <w:lvlText w:val=""/>
      <w:numFmt w:val="bullet"/>
      <w:pPr>
        <w:pBdr/>
        <w:tabs>
          <w:tab w:val="num" w:leader="none" w:pos="5389"/>
        </w:tabs>
        <w:spacing/>
        <w:ind w:hanging="360" w:left="5389"/>
      </w:pPr>
      <w:rPr>
        <w:rFonts w:hint="default" w:ascii="Symbol" w:hAnsi="Symbol"/>
      </w:rPr>
      <w:start w:val="1"/>
      <w:suff w:val="tab"/>
    </w:lvl>
    <w:lvl w:ilvl="7">
      <w:isLgl w:val="false"/>
      <w:lvlJc w:val="left"/>
      <w:lvlText w:val="o"/>
      <w:numFmt w:val="bullet"/>
      <w:pPr>
        <w:pBdr/>
        <w:tabs>
          <w:tab w:val="num" w:leader="none" w:pos="6109"/>
        </w:tabs>
        <w:spacing/>
        <w:ind w:hanging="360" w:left="6109"/>
      </w:pPr>
      <w:rPr>
        <w:rFonts w:hint="default" w:ascii="Courier New" w:hAnsi="Courier New" w:cs="Courier New"/>
      </w:rPr>
      <w:start w:val="1"/>
      <w:suff w:val="tab"/>
    </w:lvl>
    <w:lvl w:ilvl="8">
      <w:isLgl w:val="false"/>
      <w:lvlJc w:val="left"/>
      <w:lvlText w:val=""/>
      <w:numFmt w:val="bullet"/>
      <w:pPr>
        <w:pBdr/>
        <w:tabs>
          <w:tab w:val="num" w:leader="none" w:pos="6829"/>
        </w:tabs>
        <w:spacing/>
        <w:ind w:hanging="360" w:left="6829"/>
      </w:pPr>
      <w:rPr>
        <w:rFonts w:hint="default" w:ascii="Wingdings" w:hAnsi="Wingdings"/>
      </w:rPr>
      <w:start w:val="1"/>
      <w:suff w:val="tab"/>
    </w:lvl>
  </w:abstractNum>
  <w:abstractNum w:abstractNumId="30">
    <w:nsid w:val="70B35474"/>
    <w:lvl w:ilvl="0">
      <w:isLgl w:val="false"/>
      <w:lvlJc w:val="left"/>
      <w:lvlText w:val="-"/>
      <w:numFmt w:val="bullet"/>
      <w:pPr>
        <w:pBdr/>
        <w:spacing/>
        <w:ind w:hanging="360" w:left="720"/>
      </w:pPr>
      <w:rPr>
        <w:rFonts w:hint="default" w:ascii="Calibri" w:hAnsi="Calibri" w:eastAsia="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abstractNum w:abstractNumId="31">
    <w:nsid w:val="71D83BBD"/>
    <w:lvl w:ilvl="0">
      <w:isLgl w:val="false"/>
      <w:lvlJc w:val="left"/>
      <w:lvlText w:val="%1."/>
      <w:numFmt w:val="upperLetter"/>
      <w:pPr>
        <w:pBdr/>
        <w:spacing/>
        <w:ind w:hanging="432" w:left="432"/>
      </w:pPr>
      <w:pStyle w:val="817"/>
      <w:rPr>
        <w:rFonts w:hint="default"/>
        <w:b/>
      </w:rPr>
      <w:start w:val="1"/>
      <w:suff w:val="tab"/>
    </w:lvl>
    <w:lvl w:ilvl="1">
      <w:isLgl w:val="false"/>
      <w:lvlJc w:val="left"/>
      <w:lvlText w:val="%1.%2"/>
      <w:numFmt w:val="decimal"/>
      <w:pPr>
        <w:pBdr/>
        <w:spacing/>
        <w:ind w:hanging="576" w:left="576"/>
      </w:pPr>
      <w:rPr>
        <w:rFonts w:hint="default"/>
      </w:rPr>
      <w:start w:val="1"/>
      <w:suff w:val="tab"/>
    </w:lvl>
    <w:lvl w:ilvl="2">
      <w:isLgl w:val="false"/>
      <w:lvlJc w:val="left"/>
      <w:lvlText w:val="%1.%2.%3"/>
      <w:numFmt w:val="decimal"/>
      <w:pPr>
        <w:pBdr/>
        <w:spacing/>
        <w:ind w:hanging="720" w:left="1996"/>
      </w:pPr>
      <w:rPr>
        <w:rFonts w:hint="default"/>
      </w:rPr>
      <w:start w:val="1"/>
      <w:suff w:val="tab"/>
    </w:lvl>
    <w:lvl w:ilvl="3">
      <w:isLgl w:val="false"/>
      <w:lvlJc w:val="left"/>
      <w:lvlText w:val="%1.%2.%3.%4"/>
      <w:numFmt w:val="decimal"/>
      <w:pPr>
        <w:pBdr/>
        <w:spacing/>
        <w:ind w:hanging="864" w:left="864"/>
      </w:pPr>
      <w:rPr>
        <w:rFonts w:hint="default"/>
      </w:rPr>
      <w:start w:val="1"/>
      <w:suff w:val="tab"/>
    </w:lvl>
    <w:lvl w:ilvl="4">
      <w:isLgl w:val="false"/>
      <w:lvlJc w:val="left"/>
      <w:lvlText w:val="%1.%2.%3.%4.%5"/>
      <w:numFmt w:val="decimal"/>
      <w:pPr>
        <w:pBdr/>
        <w:spacing/>
        <w:ind w:hanging="1008" w:left="1008"/>
      </w:pPr>
      <w:rPr>
        <w:rFonts w:hint="default"/>
      </w:rPr>
      <w:start w:val="1"/>
      <w:suff w:val="tab"/>
    </w:lvl>
    <w:lvl w:ilvl="5">
      <w:isLgl w:val="false"/>
      <w:lvlJc w:val="left"/>
      <w:lvlText w:val="%1.%2.%3.%4.%5.%6"/>
      <w:numFmt w:val="decimal"/>
      <w:pPr>
        <w:pBdr/>
        <w:spacing/>
        <w:ind w:hanging="1152" w:left="1152"/>
      </w:pPr>
      <w:rPr>
        <w:rFonts w:hint="default"/>
      </w:rPr>
      <w:start w:val="1"/>
      <w:suff w:val="tab"/>
    </w:lvl>
    <w:lvl w:ilvl="6">
      <w:isLgl w:val="false"/>
      <w:lvlJc w:val="left"/>
      <w:lvlText w:val="%1.%2.%3.%4.%5.%6.%7"/>
      <w:numFmt w:val="decimal"/>
      <w:pPr>
        <w:pBdr/>
        <w:spacing/>
        <w:ind w:hanging="1296" w:left="1296"/>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584" w:left="1584"/>
      </w:pPr>
      <w:rPr>
        <w:rFonts w:hint="default"/>
      </w:rPr>
      <w:start w:val="1"/>
      <w:suff w:val="tab"/>
    </w:lvl>
  </w:abstractNum>
  <w:abstractNum w:abstractNumId="32">
    <w:nsid w:val="74E541A7"/>
    <w:lvl w:ilvl="0">
      <w:isLgl w:val="false"/>
      <w:lvlJc w:val="left"/>
      <w:lvlText w:val="%1)"/>
      <w:numFmt w:val="lowerLetter"/>
      <w:pPr>
        <w:pBdr/>
        <w:tabs>
          <w:tab w:val="num" w:leader="none" w:pos="1287"/>
        </w:tabs>
        <w:spacing/>
        <w:ind w:hanging="360" w:left="1287"/>
      </w:pPr>
      <w:rPr/>
      <w:start w:val="1"/>
      <w:suff w:val="tab"/>
    </w:lvl>
    <w:lvl w:ilvl="1">
      <w:isLgl w:val="false"/>
      <w:lvlJc w:val="left"/>
      <w:lvlText w:val=""/>
      <w:numFmt w:val="bullet"/>
      <w:pPr>
        <w:pBdr/>
        <w:tabs>
          <w:tab w:val="num" w:leader="none" w:pos="2007"/>
        </w:tabs>
        <w:spacing/>
        <w:ind w:hanging="360" w:left="2007"/>
      </w:pPr>
      <w:rPr>
        <w:rFonts w:hint="default" w:ascii="Symbol" w:hAnsi="Symbol"/>
      </w:rPr>
      <w:start w:val="1"/>
      <w:suff w:val="tab"/>
    </w:lvl>
    <w:lvl w:ilvl="2">
      <w:isLgl w:val="false"/>
      <w:lvlJc w:val="right"/>
      <w:lvlText w:val="%3."/>
      <w:numFmt w:val="lowerRoman"/>
      <w:pPr>
        <w:pBdr/>
        <w:tabs>
          <w:tab w:val="num" w:leader="none" w:pos="2727"/>
        </w:tabs>
        <w:spacing/>
        <w:ind w:hanging="180" w:left="2727"/>
      </w:pPr>
      <w:rPr/>
      <w:start w:val="1"/>
      <w:suff w:val="tab"/>
    </w:lvl>
    <w:lvl w:ilvl="3">
      <w:isLgl w:val="false"/>
      <w:lvlJc w:val="left"/>
      <w:lvlText w:val="%4."/>
      <w:numFmt w:val="decimal"/>
      <w:pPr>
        <w:pBdr/>
        <w:tabs>
          <w:tab w:val="num" w:leader="none" w:pos="3447"/>
        </w:tabs>
        <w:spacing/>
        <w:ind w:hanging="360" w:left="3447"/>
      </w:pPr>
      <w:rPr/>
      <w:start w:val="1"/>
      <w:suff w:val="tab"/>
    </w:lvl>
    <w:lvl w:ilvl="4">
      <w:isLgl w:val="false"/>
      <w:lvlJc w:val="left"/>
      <w:lvlText w:val="%5."/>
      <w:numFmt w:val="lowerLetter"/>
      <w:pPr>
        <w:pBdr/>
        <w:tabs>
          <w:tab w:val="num" w:leader="none" w:pos="4167"/>
        </w:tabs>
        <w:spacing/>
        <w:ind w:hanging="360" w:left="4167"/>
      </w:pPr>
      <w:rPr/>
      <w:start w:val="1"/>
      <w:suff w:val="tab"/>
    </w:lvl>
    <w:lvl w:ilvl="5">
      <w:isLgl w:val="false"/>
      <w:lvlJc w:val="right"/>
      <w:lvlText w:val="%6."/>
      <w:numFmt w:val="lowerRoman"/>
      <w:pPr>
        <w:pBdr/>
        <w:tabs>
          <w:tab w:val="num" w:leader="none" w:pos="4887"/>
        </w:tabs>
        <w:spacing/>
        <w:ind w:hanging="180" w:left="4887"/>
      </w:pPr>
      <w:rPr/>
      <w:start w:val="1"/>
      <w:suff w:val="tab"/>
    </w:lvl>
    <w:lvl w:ilvl="6">
      <w:isLgl w:val="false"/>
      <w:lvlJc w:val="left"/>
      <w:lvlText w:val="%7."/>
      <w:numFmt w:val="decimal"/>
      <w:pPr>
        <w:pBdr/>
        <w:tabs>
          <w:tab w:val="num" w:leader="none" w:pos="5607"/>
        </w:tabs>
        <w:spacing/>
        <w:ind w:hanging="360" w:left="5607"/>
      </w:pPr>
      <w:rPr/>
      <w:start w:val="1"/>
      <w:suff w:val="tab"/>
    </w:lvl>
    <w:lvl w:ilvl="7">
      <w:isLgl w:val="false"/>
      <w:lvlJc w:val="left"/>
      <w:lvlText w:val="%8."/>
      <w:numFmt w:val="lowerLetter"/>
      <w:pPr>
        <w:pBdr/>
        <w:tabs>
          <w:tab w:val="num" w:leader="none" w:pos="6327"/>
        </w:tabs>
        <w:spacing/>
        <w:ind w:hanging="360" w:left="6327"/>
      </w:pPr>
      <w:rPr/>
      <w:start w:val="1"/>
      <w:suff w:val="tab"/>
    </w:lvl>
    <w:lvl w:ilvl="8">
      <w:isLgl w:val="false"/>
      <w:lvlJc w:val="right"/>
      <w:lvlText w:val="%9."/>
      <w:numFmt w:val="lowerRoman"/>
      <w:pPr>
        <w:pBdr/>
        <w:tabs>
          <w:tab w:val="num" w:leader="none" w:pos="7047"/>
        </w:tabs>
        <w:spacing/>
        <w:ind w:hanging="180" w:left="7047"/>
      </w:pPr>
      <w:rPr/>
      <w:start w:val="1"/>
      <w:suff w:val="tab"/>
    </w:lvl>
  </w:abstractNum>
  <w:abstractNum w:abstractNumId="33">
    <w:nsid w:val="767F3A6A"/>
    <w:lvl w:ilvl="0">
      <w:isLgl w:val="false"/>
      <w:lvlJc w:val="left"/>
      <w:lvlText w:val="B.%1"/>
      <w:numFmt w:val="decimal"/>
      <w:pPr>
        <w:pBdr/>
        <w:spacing/>
        <w:ind w:hanging="360" w:left="360"/>
      </w:pPr>
      <w:rPr>
        <w:rFonts w:hint="default"/>
      </w:rPr>
      <w:start w:val="1"/>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34">
    <w:nsid w:val="77E734FB"/>
    <w:lvl w:ilvl="0">
      <w:isLgl w:val="false"/>
      <w:lvlJc w:val="left"/>
      <w:lvlText w:val="%1)"/>
      <w:numFmt w:val="lowerLetter"/>
      <w:pPr>
        <w:pBdr/>
        <w:spacing/>
        <w:ind w:hanging="360" w:left="1211"/>
      </w:pPr>
      <w:rPr>
        <w:sz w:val="22"/>
        <w:szCs w:val="22"/>
      </w:rPr>
      <w:start w:val="1"/>
      <w:suff w:val="tab"/>
    </w:lvl>
    <w:lvl w:ilvl="1">
      <w:isLgl w:val="false"/>
      <w:lvlJc w:val="left"/>
      <w:lvlText w:val="%2."/>
      <w:numFmt w:val="lowerLetter"/>
      <w:pPr>
        <w:pBdr/>
        <w:spacing/>
        <w:ind w:hanging="360" w:left="1931"/>
      </w:pPr>
      <w:rPr/>
      <w:start w:val="1"/>
      <w:suff w:val="tab"/>
    </w:lvl>
    <w:lvl w:ilvl="2">
      <w:isLgl w:val="false"/>
      <w:lvlJc w:val="right"/>
      <w:lvlText w:val="%3."/>
      <w:numFmt w:val="lowerRoman"/>
      <w:pPr>
        <w:pBdr/>
        <w:spacing/>
        <w:ind w:hanging="180" w:left="2651"/>
      </w:pPr>
      <w:rPr/>
      <w:start w:val="1"/>
      <w:suff w:val="tab"/>
    </w:lvl>
    <w:lvl w:ilvl="3">
      <w:isLgl w:val="false"/>
      <w:lvlJc w:val="left"/>
      <w:lvlText w:val="%4."/>
      <w:numFmt w:val="decimal"/>
      <w:pPr>
        <w:pBdr/>
        <w:spacing/>
        <w:ind w:hanging="360" w:left="3371"/>
      </w:pPr>
      <w:rPr/>
      <w:start w:val="1"/>
      <w:suff w:val="tab"/>
    </w:lvl>
    <w:lvl w:ilvl="4">
      <w:isLgl w:val="false"/>
      <w:lvlJc w:val="left"/>
      <w:lvlText w:val="%5."/>
      <w:numFmt w:val="lowerLetter"/>
      <w:pPr>
        <w:pBdr/>
        <w:spacing/>
        <w:ind w:hanging="360" w:left="4091"/>
      </w:pPr>
      <w:rPr/>
      <w:start w:val="1"/>
      <w:suff w:val="tab"/>
    </w:lvl>
    <w:lvl w:ilvl="5">
      <w:isLgl w:val="false"/>
      <w:lvlJc w:val="right"/>
      <w:lvlText w:val="%6."/>
      <w:numFmt w:val="lowerRoman"/>
      <w:pPr>
        <w:pBdr/>
        <w:spacing/>
        <w:ind w:hanging="180" w:left="4811"/>
      </w:pPr>
      <w:rPr/>
      <w:start w:val="1"/>
      <w:suff w:val="tab"/>
    </w:lvl>
    <w:lvl w:ilvl="6">
      <w:isLgl w:val="false"/>
      <w:lvlJc w:val="left"/>
      <w:lvlText w:val="%7."/>
      <w:numFmt w:val="decimal"/>
      <w:pPr>
        <w:pBdr/>
        <w:spacing/>
        <w:ind w:hanging="360" w:left="5531"/>
      </w:pPr>
      <w:rPr/>
      <w:start w:val="1"/>
      <w:suff w:val="tab"/>
    </w:lvl>
    <w:lvl w:ilvl="7">
      <w:isLgl w:val="false"/>
      <w:lvlJc w:val="left"/>
      <w:lvlText w:val="%8."/>
      <w:numFmt w:val="lowerLetter"/>
      <w:pPr>
        <w:pBdr/>
        <w:spacing/>
        <w:ind w:hanging="360" w:left="6251"/>
      </w:pPr>
      <w:rPr/>
      <w:start w:val="1"/>
      <w:suff w:val="tab"/>
    </w:lvl>
    <w:lvl w:ilvl="8">
      <w:isLgl w:val="false"/>
      <w:lvlJc w:val="right"/>
      <w:lvlText w:val="%9."/>
      <w:numFmt w:val="lowerRoman"/>
      <w:pPr>
        <w:pBdr/>
        <w:spacing/>
        <w:ind w:hanging="180" w:left="6971"/>
      </w:pPr>
      <w:rPr/>
      <w:start w:val="1"/>
      <w:suff w:val="tab"/>
    </w:lvl>
  </w:abstractNum>
  <w:abstractNum w:abstractNumId="35">
    <w:nsid w:val="0BBE6D1D"/>
    <w:lvl w:ilvl="0">
      <w:isLgl w:val="false"/>
      <w:lvlJc w:val="left"/>
      <w:lvlText w:val="–"/>
      <w:numFmt w:val="bullet"/>
      <w:pPr>
        <w:pBdr/>
        <w:spacing/>
        <w:ind w:hanging="360" w:left="1417"/>
      </w:pPr>
      <w:rPr>
        <w:rFonts w:hint="default" w:ascii="Arial" w:hAnsi="Arial" w:eastAsia="Arial" w:cs="Arial"/>
      </w:rPr>
      <w:start w:val="1"/>
      <w:suff w:val="tab"/>
    </w:lvl>
    <w:lvl w:ilvl="1">
      <w:isLgl w:val="false"/>
      <w:lvlJc w:val="left"/>
      <w:lvlText w:val="o"/>
      <w:numFmt w:val="bullet"/>
      <w:pPr>
        <w:pBdr/>
        <w:spacing/>
        <w:ind w:hanging="360" w:left="2137"/>
      </w:pPr>
      <w:rPr>
        <w:rFonts w:hint="default" w:ascii="Courier New" w:hAnsi="Courier New" w:eastAsia="Courier New" w:cs="Courier New"/>
      </w:rPr>
      <w:start w:val="1"/>
      <w:suff w:val="tab"/>
    </w:lvl>
    <w:lvl w:ilvl="2">
      <w:isLgl w:val="false"/>
      <w:lvlJc w:val="left"/>
      <w:lvlText w:val="§"/>
      <w:numFmt w:val="bullet"/>
      <w:pPr>
        <w:pBdr/>
        <w:spacing/>
        <w:ind w:hanging="360" w:left="2857"/>
      </w:pPr>
      <w:rPr>
        <w:rFonts w:hint="default" w:ascii="Wingdings" w:hAnsi="Wingdings" w:eastAsia="Wingdings" w:cs="Wingdings"/>
      </w:rPr>
      <w:start w:val="1"/>
      <w:suff w:val="tab"/>
    </w:lvl>
    <w:lvl w:ilvl="3">
      <w:isLgl w:val="false"/>
      <w:lvlJc w:val="left"/>
      <w:lvlText w:val="·"/>
      <w:numFmt w:val="bullet"/>
      <w:pPr>
        <w:pBdr/>
        <w:spacing/>
        <w:ind w:hanging="360" w:left="3577"/>
      </w:pPr>
      <w:rPr>
        <w:rFonts w:hint="default" w:ascii="Symbol" w:hAnsi="Symbol" w:eastAsia="Symbol" w:cs="Symbol"/>
      </w:rPr>
      <w:start w:val="1"/>
      <w:suff w:val="tab"/>
    </w:lvl>
    <w:lvl w:ilvl="4">
      <w:isLgl w:val="false"/>
      <w:lvlJc w:val="left"/>
      <w:lvlText w:val="o"/>
      <w:numFmt w:val="bullet"/>
      <w:pPr>
        <w:pBdr/>
        <w:spacing/>
        <w:ind w:hanging="360" w:left="4297"/>
      </w:pPr>
      <w:rPr>
        <w:rFonts w:hint="default" w:ascii="Courier New" w:hAnsi="Courier New" w:eastAsia="Courier New" w:cs="Courier New"/>
      </w:rPr>
      <w:start w:val="1"/>
      <w:suff w:val="tab"/>
    </w:lvl>
    <w:lvl w:ilvl="5">
      <w:isLgl w:val="false"/>
      <w:lvlJc w:val="left"/>
      <w:lvlText w:val="§"/>
      <w:numFmt w:val="bullet"/>
      <w:pPr>
        <w:pBdr/>
        <w:spacing/>
        <w:ind w:hanging="360" w:left="5017"/>
      </w:pPr>
      <w:rPr>
        <w:rFonts w:hint="default" w:ascii="Wingdings" w:hAnsi="Wingdings" w:eastAsia="Wingdings" w:cs="Wingdings"/>
      </w:rPr>
      <w:start w:val="1"/>
      <w:suff w:val="tab"/>
    </w:lvl>
    <w:lvl w:ilvl="6">
      <w:isLgl w:val="false"/>
      <w:lvlJc w:val="left"/>
      <w:lvlText w:val="·"/>
      <w:numFmt w:val="bullet"/>
      <w:pPr>
        <w:pBdr/>
        <w:spacing/>
        <w:ind w:hanging="360" w:left="5737"/>
      </w:pPr>
      <w:rPr>
        <w:rFonts w:hint="default" w:ascii="Symbol" w:hAnsi="Symbol" w:eastAsia="Symbol" w:cs="Symbol"/>
      </w:rPr>
      <w:start w:val="1"/>
      <w:suff w:val="tab"/>
    </w:lvl>
    <w:lvl w:ilvl="7">
      <w:isLgl w:val="false"/>
      <w:lvlJc w:val="left"/>
      <w:lvlText w:val="o"/>
      <w:numFmt w:val="bullet"/>
      <w:pPr>
        <w:pBdr/>
        <w:spacing/>
        <w:ind w:hanging="360" w:left="6457"/>
      </w:pPr>
      <w:rPr>
        <w:rFonts w:hint="default" w:ascii="Courier New" w:hAnsi="Courier New" w:eastAsia="Courier New" w:cs="Courier New"/>
      </w:rPr>
      <w:start w:val="1"/>
      <w:suff w:val="tab"/>
    </w:lvl>
    <w:lvl w:ilvl="8">
      <w:isLgl w:val="false"/>
      <w:lvlJc w:val="left"/>
      <w:lvlText w:val="§"/>
      <w:numFmt w:val="bullet"/>
      <w:pPr>
        <w:pBdr/>
        <w:spacing/>
        <w:ind w:hanging="360" w:left="7177"/>
      </w:pPr>
      <w:rPr>
        <w:rFonts w:hint="default" w:ascii="Wingdings" w:hAnsi="Wingdings" w:eastAsia="Wingdings" w:cs="Wingdings"/>
      </w:rPr>
      <w:start w:val="1"/>
      <w:suff w:val="tab"/>
    </w:lvl>
  </w:abstractNum>
  <w:abstractNum w:abstractNumId="36">
    <w:nsid w:val="07491FEC"/>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31"/>
  </w:num>
  <w:num w:numId="2">
    <w:abstractNumId w:val="4"/>
  </w:num>
  <w:num w:numId="3">
    <w:abstractNumId w:val="11"/>
  </w:num>
  <w:num w:numId="4">
    <w:abstractNumId w:val="20"/>
  </w:num>
  <w:num w:numId="5">
    <w:abstractNumId w:val="33"/>
  </w:num>
  <w:num w:numId="6">
    <w:abstractNumId w:val="9"/>
  </w:num>
  <w:num w:numId="7">
    <w:abstractNumId w:val="10"/>
  </w:num>
  <w:num w:numId="8">
    <w:abstractNumId w:val="24"/>
  </w:num>
  <w:num w:numId="9">
    <w:abstractNumId w:val="7"/>
  </w:num>
  <w:num w:numId="10">
    <w:abstractNumId w:val="16"/>
  </w:num>
  <w:num w:numId="11">
    <w:abstractNumId w:val="13"/>
  </w:num>
  <w:num w:numId="12">
    <w:abstractNumId w:val="12"/>
  </w:num>
  <w:num w:numId="13">
    <w:abstractNumId w:val="5"/>
  </w:num>
  <w:num w:numId="14">
    <w:abstractNumId w:val="18"/>
  </w:num>
  <w:num w:numId="15">
    <w:abstractNumId w:val="25"/>
  </w:num>
  <w:num w:numId="16">
    <w:abstractNumId w:val="23"/>
  </w:num>
  <w:num w:numId="17">
    <w:abstractNumId w:val="34"/>
  </w:num>
  <w:num w:numId="18">
    <w:abstractNumId w:val="15"/>
  </w:num>
  <w:num w:numId="19">
    <w:abstractNumId w:val="14"/>
  </w:num>
  <w:num w:numId="20">
    <w:abstractNumId w:val="8"/>
  </w:num>
  <w:num w:numId="21">
    <w:abstractNumId w:val="19"/>
  </w:num>
  <w:num w:numId="22">
    <w:abstractNumId w:val="22"/>
  </w:num>
  <w:num w:numId="23">
    <w:abstractNumId w:val="17"/>
  </w:num>
  <w:num w:numId="24">
    <w:abstractNumId w:val="0"/>
  </w:num>
  <w:num w:numId="25">
    <w:abstractNumId w:val="2"/>
  </w:num>
  <w:num w:numId="26">
    <w:abstractNumId w:val="3"/>
  </w:num>
  <w:num w:numId="27">
    <w:abstractNumId w:val="32"/>
  </w:num>
  <w:num w:numId="28">
    <w:abstractNumId w:val="27"/>
  </w:num>
  <w:num w:numId="29">
    <w:abstractNumId w:val="28"/>
  </w:num>
  <w:num w:numId="30">
    <w:abstractNumId w:val="26"/>
  </w:num>
  <w:num w:numId="31">
    <w:abstractNumId w:val="30"/>
  </w:num>
  <w:num w:numId="32">
    <w:abstractNumId w:val="29"/>
  </w:num>
  <w:num w:numId="33">
    <w:abstractNumId w:val="21"/>
  </w:num>
  <w:num w:numId="34">
    <w:abstractNumId w:val="1"/>
  </w:num>
  <w:num w:numId="35">
    <w:abstractNumId w:val="6"/>
  </w:num>
  <w:num w:numId="36">
    <w:abstractNumId w:val="35"/>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cs-CZ"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2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82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82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8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8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8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82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82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82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82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2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2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2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2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2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2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82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82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2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2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2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82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82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2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2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2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2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2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82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2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2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2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2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2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2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82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2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2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2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2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82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2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2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2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2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2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2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82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82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2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2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2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2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2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82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82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2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2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2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2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aa1" w:themeColor="accent5" w:themeTint="9A" w:themeShade="95"/>
      </w:rPr>
      <w:pPr>
        <w:pBdr/>
        <w:spacing/>
        <w:ind/>
      </w:pPr>
      <w:tblPr>
        <w:tblBorders/>
      </w:tblPr>
      <w:tcPr>
        <w:tcBorders/>
      </w:tcPr>
    </w:tblStylePr>
    <w:tblStylePr w:type="firstRow">
      <w:rPr>
        <w:b/>
        <w:color w:val="335aa1" w:themeColor="accent5" w:themeTint="9A" w:themeShade="95"/>
      </w:rPr>
      <w:pPr>
        <w:pBdr/>
        <w:spacing/>
        <w:ind/>
      </w:pPr>
      <w:tblPr>
        <w:tblBorders/>
      </w:tblPr>
      <w:tcPr>
        <w:tcBorders>
          <w:bottom w:val="single" w:color="000000" w:themeColor="accent5" w:themeTint="9A" w:sz="4" w:space="0"/>
        </w:tcBorders>
      </w:tcPr>
    </w:tblStylePr>
    <w:tblStylePr w:type="lastCol">
      <w:rPr>
        <w:b/>
        <w:color w:val="335aa1" w:themeColor="accent5" w:themeTint="9A" w:themeShade="95"/>
      </w:rPr>
      <w:pPr>
        <w:pBdr/>
        <w:spacing/>
        <w:ind/>
      </w:pPr>
      <w:tblPr>
        <w:tblBorders/>
      </w:tblPr>
      <w:tcPr>
        <w:tcBorders/>
      </w:tcPr>
    </w:tblStylePr>
    <w:tblStylePr w:type="lastRow">
      <w:rPr>
        <w:b/>
        <w:color w:val="335aa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2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82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82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2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82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82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2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aa1"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aa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aa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aa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aa1" w:themeColor="accent5" w:themeTint="9A" w:themeShade="95"/>
        <w:sz w:val="22"/>
      </w:rPr>
      <w:pPr>
        <w:pBdr/>
        <w:spacing/>
        <w:ind/>
      </w:pPr>
      <w:tblPr>
        <w:tblBorders/>
      </w:tblPr>
      <w:tcPr>
        <w:tcBorders/>
      </w:tcPr>
    </w:tblStylePr>
  </w:style>
  <w:style w:type="table" w:styleId="116">
    <w:name w:val="List Table 7 Colorful - Accent 6"/>
    <w:basedOn w:val="82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8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8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8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8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8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8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8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82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82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82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82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82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82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82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82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8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8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8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8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8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8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4">
    <w:name w:val="Heading 6"/>
    <w:basedOn w:val="812"/>
    <w:next w:val="812"/>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12"/>
    <w:next w:val="812"/>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character" w:styleId="154">
    <w:name w:val="Heading 5 Char"/>
    <w:basedOn w:val="820"/>
    <w:link w:val="817"/>
    <w:uiPriority w:val="9"/>
    <w:pPr>
      <w:pBdr/>
      <w:spacing/>
      <w:ind/>
    </w:pPr>
    <w:rPr>
      <w:rFonts w:ascii="Arial" w:hAnsi="Arial" w:eastAsia="Arial" w:cs="Arial"/>
      <w:color w:val="0f4761" w:themeColor="accent1" w:themeShade="BF"/>
    </w:rPr>
  </w:style>
  <w:style w:type="character" w:styleId="155">
    <w:name w:val="Heading 6 Char"/>
    <w:basedOn w:val="820"/>
    <w:link w:val="144"/>
    <w:uiPriority w:val="9"/>
    <w:pPr>
      <w:pBdr/>
      <w:spacing/>
      <w:ind/>
    </w:pPr>
    <w:rPr>
      <w:rFonts w:ascii="Arial" w:hAnsi="Arial" w:eastAsia="Arial" w:cs="Arial"/>
      <w:i/>
      <w:iCs/>
      <w:color w:val="595959" w:themeColor="text1" w:themeTint="A6"/>
    </w:rPr>
  </w:style>
  <w:style w:type="character" w:styleId="156">
    <w:name w:val="Heading 7 Char"/>
    <w:basedOn w:val="820"/>
    <w:link w:val="145"/>
    <w:uiPriority w:val="9"/>
    <w:pPr>
      <w:pBdr/>
      <w:spacing/>
      <w:ind/>
    </w:pPr>
    <w:rPr>
      <w:rFonts w:ascii="Arial" w:hAnsi="Arial" w:eastAsia="Arial" w:cs="Arial"/>
      <w:color w:val="595959" w:themeColor="text1" w:themeTint="A6"/>
    </w:rPr>
  </w:style>
  <w:style w:type="paragraph" w:styleId="159">
    <w:name w:val="Title"/>
    <w:basedOn w:val="812"/>
    <w:next w:val="812"/>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820"/>
    <w:link w:val="159"/>
    <w:uiPriority w:val="10"/>
    <w:pPr>
      <w:pBdr/>
      <w:spacing/>
      <w:ind/>
    </w:pPr>
    <w:rPr>
      <w:rFonts w:ascii="Arial" w:hAnsi="Arial" w:eastAsia="Arial" w:cs="Arial"/>
      <w:spacing w:val="-10"/>
      <w:sz w:val="56"/>
      <w:szCs w:val="56"/>
    </w:rPr>
  </w:style>
  <w:style w:type="paragraph" w:styleId="161">
    <w:name w:val="Subtitle"/>
    <w:basedOn w:val="812"/>
    <w:next w:val="812"/>
    <w:link w:val="162"/>
    <w:uiPriority w:val="11"/>
    <w:qFormat/>
    <w:pPr>
      <w:numPr>
        <w:ilvl w:val="1"/>
      </w:numPr>
      <w:pBdr/>
      <w:spacing/>
      <w:ind/>
    </w:pPr>
    <w:rPr>
      <w:color w:val="595959" w:themeColor="text1" w:themeTint="A6"/>
      <w:spacing w:val="15"/>
      <w:sz w:val="28"/>
      <w:szCs w:val="28"/>
    </w:rPr>
  </w:style>
  <w:style w:type="character" w:styleId="162">
    <w:name w:val="Subtitle Char"/>
    <w:basedOn w:val="820"/>
    <w:link w:val="161"/>
    <w:uiPriority w:val="11"/>
    <w:pPr>
      <w:pBdr/>
      <w:spacing/>
      <w:ind/>
    </w:pPr>
    <w:rPr>
      <w:color w:val="595959" w:themeColor="text1" w:themeTint="A6"/>
      <w:spacing w:val="15"/>
      <w:sz w:val="28"/>
      <w:szCs w:val="28"/>
    </w:rPr>
  </w:style>
  <w:style w:type="paragraph" w:styleId="163">
    <w:name w:val="Quote"/>
    <w:basedOn w:val="812"/>
    <w:next w:val="812"/>
    <w:link w:val="164"/>
    <w:uiPriority w:val="29"/>
    <w:qFormat/>
    <w:pPr>
      <w:pBdr/>
      <w:spacing w:before="160"/>
      <w:ind/>
      <w:jc w:val="center"/>
    </w:pPr>
    <w:rPr>
      <w:i/>
      <w:iCs/>
      <w:color w:val="404040" w:themeColor="text1" w:themeTint="BF"/>
    </w:rPr>
  </w:style>
  <w:style w:type="character" w:styleId="164">
    <w:name w:val="Quote Char"/>
    <w:basedOn w:val="820"/>
    <w:link w:val="163"/>
    <w:uiPriority w:val="29"/>
    <w:pPr>
      <w:pBdr/>
      <w:spacing/>
      <w:ind/>
    </w:pPr>
    <w:rPr>
      <w:i/>
      <w:iCs/>
      <w:color w:val="404040" w:themeColor="text1" w:themeTint="BF"/>
    </w:rPr>
  </w:style>
  <w:style w:type="character" w:styleId="166">
    <w:name w:val="Intense Emphasis"/>
    <w:basedOn w:val="820"/>
    <w:uiPriority w:val="21"/>
    <w:qFormat/>
    <w:pPr>
      <w:pBdr/>
      <w:spacing/>
      <w:ind/>
    </w:pPr>
    <w:rPr>
      <w:i/>
      <w:iCs/>
      <w:color w:val="0f4761" w:themeColor="accent1" w:themeShade="BF"/>
    </w:rPr>
  </w:style>
  <w:style w:type="paragraph" w:styleId="167">
    <w:name w:val="Intense Quote"/>
    <w:basedOn w:val="812"/>
    <w:next w:val="812"/>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820"/>
    <w:link w:val="167"/>
    <w:uiPriority w:val="30"/>
    <w:pPr>
      <w:pBdr/>
      <w:spacing/>
      <w:ind/>
    </w:pPr>
    <w:rPr>
      <w:i/>
      <w:iCs/>
      <w:color w:val="0f4761" w:themeColor="accent1" w:themeShade="BF"/>
    </w:rPr>
  </w:style>
  <w:style w:type="character" w:styleId="169">
    <w:name w:val="Intense Reference"/>
    <w:basedOn w:val="820"/>
    <w:uiPriority w:val="32"/>
    <w:qFormat/>
    <w:pPr>
      <w:pBdr/>
      <w:spacing/>
      <w:ind/>
    </w:pPr>
    <w:rPr>
      <w:b/>
      <w:bCs/>
      <w:smallCaps/>
      <w:color w:val="0f4761" w:themeColor="accent1" w:themeShade="BF"/>
      <w:spacing w:val="5"/>
    </w:rPr>
  </w:style>
  <w:style w:type="character" w:styleId="171">
    <w:name w:val="Subtle Emphasis"/>
    <w:basedOn w:val="820"/>
    <w:uiPriority w:val="19"/>
    <w:qFormat/>
    <w:pPr>
      <w:pBdr/>
      <w:spacing/>
      <w:ind/>
    </w:pPr>
    <w:rPr>
      <w:i/>
      <w:iCs/>
      <w:color w:val="404040" w:themeColor="text1" w:themeTint="BF"/>
    </w:rPr>
  </w:style>
  <w:style w:type="character" w:styleId="172">
    <w:name w:val="Emphasis"/>
    <w:basedOn w:val="820"/>
    <w:uiPriority w:val="20"/>
    <w:qFormat/>
    <w:pPr>
      <w:pBdr/>
      <w:spacing/>
      <w:ind/>
    </w:pPr>
    <w:rPr>
      <w:i/>
      <w:iCs/>
    </w:rPr>
  </w:style>
  <w:style w:type="character" w:styleId="174">
    <w:name w:val="Subtle Reference"/>
    <w:basedOn w:val="820"/>
    <w:uiPriority w:val="31"/>
    <w:qFormat/>
    <w:pPr>
      <w:pBdr/>
      <w:spacing/>
      <w:ind/>
    </w:pPr>
    <w:rPr>
      <w:smallCaps/>
      <w:color w:val="5a5a5a" w:themeColor="text1" w:themeTint="A5"/>
    </w:rPr>
  </w:style>
  <w:style w:type="character" w:styleId="175">
    <w:name w:val="Book Title"/>
    <w:basedOn w:val="820"/>
    <w:uiPriority w:val="33"/>
    <w:qFormat/>
    <w:pPr>
      <w:pBdr/>
      <w:spacing/>
      <w:ind/>
    </w:pPr>
    <w:rPr>
      <w:b/>
      <w:bCs/>
      <w:i/>
      <w:iCs/>
      <w:spacing w:val="5"/>
    </w:rPr>
  </w:style>
  <w:style w:type="character" w:styleId="182">
    <w:name w:val="Footnote Text Char"/>
    <w:basedOn w:val="820"/>
    <w:link w:val="925"/>
    <w:uiPriority w:val="99"/>
    <w:semiHidden/>
    <w:pPr>
      <w:pBdr/>
      <w:spacing/>
      <w:ind/>
    </w:pPr>
    <w:rPr>
      <w:sz w:val="20"/>
      <w:szCs w:val="20"/>
    </w:rPr>
  </w:style>
  <w:style w:type="paragraph" w:styleId="184">
    <w:name w:val="endnote text"/>
    <w:basedOn w:val="812"/>
    <w:link w:val="185"/>
    <w:uiPriority w:val="99"/>
    <w:semiHidden/>
    <w:unhideWhenUsed/>
    <w:pPr>
      <w:pBdr/>
      <w:spacing w:after="0" w:line="240" w:lineRule="auto"/>
      <w:ind/>
    </w:pPr>
    <w:rPr>
      <w:sz w:val="20"/>
      <w:szCs w:val="20"/>
    </w:rPr>
  </w:style>
  <w:style w:type="character" w:styleId="185">
    <w:name w:val="Endnote Text Char"/>
    <w:basedOn w:val="820"/>
    <w:link w:val="184"/>
    <w:uiPriority w:val="99"/>
    <w:semiHidden/>
    <w:pPr>
      <w:pBdr/>
      <w:spacing/>
      <w:ind/>
    </w:pPr>
    <w:rPr>
      <w:sz w:val="20"/>
      <w:szCs w:val="20"/>
    </w:rPr>
  </w:style>
  <w:style w:type="character" w:styleId="186">
    <w:name w:val="endnote reference"/>
    <w:basedOn w:val="820"/>
    <w:uiPriority w:val="99"/>
    <w:semiHidden/>
    <w:unhideWhenUsed/>
    <w:pPr>
      <w:pBdr/>
      <w:spacing/>
      <w:ind/>
    </w:pPr>
    <w:rPr>
      <w:vertAlign w:val="superscript"/>
    </w:rPr>
  </w:style>
  <w:style w:type="character" w:styleId="188">
    <w:name w:val="FollowedHyperlink"/>
    <w:basedOn w:val="820"/>
    <w:uiPriority w:val="99"/>
    <w:semiHidden/>
    <w:unhideWhenUsed/>
    <w:pPr>
      <w:pBdr/>
      <w:spacing/>
      <w:ind/>
    </w:pPr>
    <w:rPr>
      <w:color w:val="954f72" w:themeColor="followedHyperlink"/>
      <w:u w:val="single"/>
    </w:rPr>
  </w:style>
  <w:style w:type="character" w:styleId="198">
    <w:name w:val="Placeholder Text"/>
    <w:basedOn w:val="820"/>
    <w:uiPriority w:val="99"/>
    <w:semiHidden/>
    <w:pPr>
      <w:pBdr/>
      <w:spacing/>
      <w:ind/>
    </w:pPr>
    <w:rPr>
      <w:color w:val="666666"/>
    </w:rPr>
  </w:style>
  <w:style w:type="paragraph" w:styleId="209">
    <w:name w:val="table of figures"/>
    <w:basedOn w:val="812"/>
    <w:next w:val="812"/>
    <w:uiPriority w:val="99"/>
    <w:unhideWhenUsed/>
    <w:pPr>
      <w:pBdr/>
      <w:spacing w:after="0" w:afterAutospacing="0"/>
      <w:ind/>
    </w:pPr>
  </w:style>
  <w:style w:type="paragraph" w:styleId="812" w:default="1">
    <w:name w:val="Normal"/>
    <w:qFormat/>
    <w:pPr>
      <w:pBdr/>
      <w:spacing/>
      <w:ind/>
      <w:jc w:val="both"/>
    </w:pPr>
    <w:rPr>
      <w:rFonts w:ascii="Arial" w:hAnsi="Arial"/>
      <w:sz w:val="20"/>
    </w:rPr>
  </w:style>
  <w:style w:type="paragraph" w:styleId="813">
    <w:name w:val="Heading 1"/>
    <w:basedOn w:val="817"/>
    <w:next w:val="812"/>
    <w:link w:val="823"/>
    <w:qFormat/>
    <w:pPr>
      <w:keepLines w:val="false"/>
      <w:numPr>
        <w:numId w:val="2"/>
      </w:numPr>
      <w:pBdr/>
      <w:spacing w:before="0" w:line="240" w:lineRule="auto"/>
      <w:ind w:firstLine="0" w:left="0"/>
      <w:jc w:val="left"/>
      <w:outlineLvl w:val="0"/>
    </w:pPr>
    <w:rPr>
      <w:rFonts w:ascii="Arial" w:hAnsi="Arial" w:eastAsia="Times New Roman" w:cs="Times New Roman"/>
      <w:b/>
      <w:color w:val="auto"/>
      <w:szCs w:val="20"/>
      <w:lang w:eastAsia="cs-CZ"/>
    </w:rPr>
  </w:style>
  <w:style w:type="paragraph" w:styleId="814">
    <w:name w:val="Heading 2"/>
    <w:basedOn w:val="812"/>
    <w:next w:val="812"/>
    <w:link w:val="838"/>
    <w:qFormat/>
    <w:pPr>
      <w:keepNext w:val="true"/>
      <w:pBdr/>
      <w:tabs>
        <w:tab w:val="num" w:leader="none" w:pos="0"/>
      </w:tabs>
      <w:spacing w:after="0" w:line="240" w:lineRule="auto"/>
      <w:ind w:left="567"/>
      <w:jc w:val="left"/>
      <w:outlineLvl w:val="1"/>
    </w:pPr>
    <w:rPr>
      <w:rFonts w:ascii="Arial Narrow" w:hAnsi="Arial Narrow" w:eastAsia="Times New Roman" w:cs="Arial Narrow"/>
      <w:b/>
      <w:bCs/>
      <w:iCs/>
      <w:sz w:val="24"/>
      <w:szCs w:val="28"/>
      <w:lang w:eastAsia="zh-CN"/>
    </w:rPr>
  </w:style>
  <w:style w:type="paragraph" w:styleId="815">
    <w:name w:val="Heading 3"/>
    <w:basedOn w:val="812"/>
    <w:next w:val="812"/>
    <w:link w:val="839"/>
    <w:qFormat/>
    <w:pPr>
      <w:keepNext w:val="true"/>
      <w:pBdr/>
      <w:tabs>
        <w:tab w:val="num" w:leader="none" w:pos="0"/>
      </w:tabs>
      <w:spacing w:after="0" w:line="240" w:lineRule="auto"/>
      <w:ind w:hanging="720" w:left="720"/>
      <w:jc w:val="left"/>
      <w:outlineLvl w:val="2"/>
    </w:pPr>
    <w:rPr>
      <w:rFonts w:ascii="Arial Narrow" w:hAnsi="Arial Narrow" w:eastAsia="Times New Roman" w:cs="Arial Narrow"/>
      <w:b/>
      <w:bCs/>
      <w:sz w:val="24"/>
      <w:szCs w:val="26"/>
      <w:lang w:eastAsia="zh-CN"/>
    </w:rPr>
  </w:style>
  <w:style w:type="paragraph" w:styleId="816">
    <w:name w:val="Heading 4"/>
    <w:basedOn w:val="812"/>
    <w:next w:val="812"/>
    <w:link w:val="840"/>
    <w:qFormat/>
    <w:pPr>
      <w:keepNext w:val="true"/>
      <w:pBdr/>
      <w:tabs>
        <w:tab w:val="num" w:leader="none" w:pos="0"/>
      </w:tabs>
      <w:spacing w:after="60" w:before="240" w:line="240" w:lineRule="auto"/>
      <w:ind w:hanging="864" w:left="864"/>
      <w:jc w:val="left"/>
      <w:outlineLvl w:val="3"/>
    </w:pPr>
    <w:rPr>
      <w:rFonts w:ascii="Calibri" w:hAnsi="Calibri" w:eastAsia="Times New Roman" w:cs="Calibri"/>
      <w:b/>
      <w:bCs/>
      <w:sz w:val="28"/>
      <w:szCs w:val="28"/>
      <w:lang w:eastAsia="zh-CN"/>
    </w:rPr>
  </w:style>
  <w:style w:type="paragraph" w:styleId="817">
    <w:name w:val="Heading 5"/>
    <w:basedOn w:val="812"/>
    <w:next w:val="812"/>
    <w:link w:val="824"/>
    <w:unhideWhenUsed/>
    <w:qFormat/>
    <w:pPr>
      <w:keepNext w:val="true"/>
      <w:keepLines w:val="true"/>
      <w:numPr>
        <w:numId w:val="1"/>
      </w:numPr>
      <w:pBdr/>
      <w:spacing w:after="0" w:before="40"/>
      <w:ind/>
      <w:outlineLvl w:val="4"/>
    </w:pPr>
    <w:rPr>
      <w:rFonts w:asciiTheme="majorHAnsi" w:hAnsiTheme="majorHAnsi" w:eastAsiaTheme="majorEastAsia" w:cstheme="majorBidi"/>
      <w:color w:val="2e74b5" w:themeColor="accent1" w:themeShade="BF"/>
    </w:rPr>
  </w:style>
  <w:style w:type="paragraph" w:styleId="818">
    <w:name w:val="Heading 8"/>
    <w:basedOn w:val="812"/>
    <w:next w:val="812"/>
    <w:link w:val="841"/>
    <w:qFormat/>
    <w:pPr>
      <w:keepNext w:val="true"/>
      <w:keepLines w:val="true"/>
      <w:pBdr/>
      <w:spacing w:after="0" w:before="200" w:line="240" w:lineRule="auto"/>
      <w:ind/>
      <w:jc w:val="left"/>
      <w:outlineLvl w:val="7"/>
    </w:pPr>
    <w:rPr>
      <w:rFonts w:ascii="Cambria" w:hAnsi="Cambria" w:eastAsia="Times New Roman" w:cs="Cambria"/>
      <w:szCs w:val="20"/>
      <w:lang w:eastAsia="cs-CZ"/>
    </w:rPr>
  </w:style>
  <w:style w:type="paragraph" w:styleId="819">
    <w:name w:val="Heading 9"/>
    <w:basedOn w:val="812"/>
    <w:next w:val="812"/>
    <w:link w:val="842"/>
    <w:qFormat/>
    <w:pPr>
      <w:keepNext w:val="true"/>
      <w:keepLines w:val="true"/>
      <w:pBdr/>
      <w:spacing w:after="0" w:before="200" w:line="240" w:lineRule="auto"/>
      <w:ind/>
      <w:jc w:val="left"/>
      <w:outlineLvl w:val="8"/>
    </w:pPr>
    <w:rPr>
      <w:rFonts w:ascii="Cambria" w:hAnsi="Cambria" w:eastAsia="Times New Roman" w:cs="Cambria"/>
      <w:i/>
      <w:iCs/>
      <w:szCs w:val="20"/>
      <w:lang w:eastAsia="cs-CZ"/>
    </w:rPr>
  </w:style>
  <w:style w:type="character" w:styleId="820" w:default="1">
    <w:name w:val="Default Paragraph Font"/>
    <w:uiPriority w:val="1"/>
    <w:semiHidden/>
    <w:unhideWhenUsed/>
    <w:pPr>
      <w:pBdr/>
      <w:spacing/>
      <w:ind/>
    </w:pPr>
  </w:style>
  <w:style w:type="table" w:styleId="82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2" w:default="1">
    <w:name w:val="No List"/>
    <w:uiPriority w:val="99"/>
    <w:semiHidden/>
    <w:unhideWhenUsed/>
    <w:pPr>
      <w:pBdr/>
      <w:spacing/>
      <w:ind/>
    </w:pPr>
  </w:style>
  <w:style w:type="character" w:styleId="823" w:customStyle="1">
    <w:name w:val="Nadpis 1 Char"/>
    <w:basedOn w:val="820"/>
    <w:link w:val="813"/>
    <w:pPr>
      <w:pBdr/>
      <w:spacing/>
      <w:ind/>
    </w:pPr>
    <w:rPr>
      <w:rFonts w:ascii="Arial" w:hAnsi="Arial" w:eastAsia="Times New Roman" w:cs="Times New Roman"/>
      <w:b/>
      <w:sz w:val="20"/>
      <w:szCs w:val="20"/>
      <w:lang w:eastAsia="cs-CZ"/>
    </w:rPr>
  </w:style>
  <w:style w:type="character" w:styleId="824" w:customStyle="1">
    <w:name w:val="Nadpis 5 Char"/>
    <w:basedOn w:val="820"/>
    <w:link w:val="817"/>
    <w:pPr>
      <w:pBdr/>
      <w:spacing/>
      <w:ind/>
    </w:pPr>
    <w:rPr>
      <w:rFonts w:asciiTheme="majorHAnsi" w:hAnsiTheme="majorHAnsi" w:eastAsiaTheme="majorEastAsia" w:cstheme="majorBidi"/>
      <w:color w:val="2e74b5" w:themeColor="accent1" w:themeShade="BF"/>
      <w:sz w:val="20"/>
    </w:rPr>
  </w:style>
  <w:style w:type="paragraph" w:styleId="825">
    <w:name w:val="List Paragraph"/>
    <w:basedOn w:val="812"/>
    <w:uiPriority w:val="34"/>
    <w:qFormat/>
    <w:pPr>
      <w:pBdr/>
      <w:spacing/>
      <w:ind w:left="720"/>
      <w:contextualSpacing w:val="true"/>
    </w:pPr>
  </w:style>
  <w:style w:type="paragraph" w:styleId="826">
    <w:name w:val="TOC Heading"/>
    <w:basedOn w:val="813"/>
    <w:next w:val="812"/>
    <w:uiPriority w:val="39"/>
    <w:unhideWhenUsed/>
    <w:qFormat/>
    <w:pPr>
      <w:keepLines w:val="true"/>
      <w:numPr>
        <w:numId w:val="0"/>
      </w:numPr>
      <w:pBdr/>
      <w:spacing w:before="240" w:line="259" w:lineRule="auto"/>
      <w:ind/>
      <w:outlineLvl w:val="9"/>
    </w:pPr>
    <w:rPr>
      <w:rFonts w:asciiTheme="majorHAnsi" w:hAnsiTheme="majorHAnsi" w:eastAsiaTheme="majorEastAsia" w:cstheme="majorBidi"/>
      <w:b w:val="0"/>
      <w:color w:val="2e74b5" w:themeColor="accent1" w:themeShade="BF"/>
      <w:sz w:val="32"/>
      <w:szCs w:val="32"/>
    </w:rPr>
  </w:style>
  <w:style w:type="paragraph" w:styleId="827">
    <w:name w:val="Header"/>
    <w:basedOn w:val="812"/>
    <w:link w:val="828"/>
    <w:uiPriority w:val="99"/>
    <w:unhideWhenUsed/>
    <w:pPr>
      <w:pBdr/>
      <w:tabs>
        <w:tab w:val="center" w:leader="none" w:pos="4536"/>
        <w:tab w:val="right" w:leader="none" w:pos="9072"/>
      </w:tabs>
      <w:spacing w:after="0" w:line="240" w:lineRule="auto"/>
      <w:ind/>
    </w:pPr>
  </w:style>
  <w:style w:type="character" w:styleId="828" w:customStyle="1">
    <w:name w:val="Záhlaví Char"/>
    <w:basedOn w:val="820"/>
    <w:link w:val="827"/>
    <w:uiPriority w:val="99"/>
    <w:pPr>
      <w:pBdr/>
      <w:spacing/>
      <w:ind/>
    </w:pPr>
    <w:rPr>
      <w:rFonts w:ascii="Arial" w:hAnsi="Arial"/>
      <w:sz w:val="20"/>
    </w:rPr>
  </w:style>
  <w:style w:type="paragraph" w:styleId="829">
    <w:name w:val="Footer"/>
    <w:basedOn w:val="812"/>
    <w:link w:val="830"/>
    <w:uiPriority w:val="99"/>
    <w:unhideWhenUsed/>
    <w:pPr>
      <w:pBdr/>
      <w:tabs>
        <w:tab w:val="center" w:leader="none" w:pos="4536"/>
        <w:tab w:val="right" w:leader="none" w:pos="9072"/>
      </w:tabs>
      <w:spacing w:after="0" w:line="240" w:lineRule="auto"/>
      <w:ind/>
    </w:pPr>
  </w:style>
  <w:style w:type="character" w:styleId="830" w:customStyle="1">
    <w:name w:val="Zápatí Char"/>
    <w:basedOn w:val="820"/>
    <w:link w:val="829"/>
    <w:uiPriority w:val="99"/>
    <w:pPr>
      <w:pBdr/>
      <w:spacing/>
      <w:ind/>
    </w:pPr>
    <w:rPr>
      <w:rFonts w:ascii="Arial" w:hAnsi="Arial"/>
      <w:sz w:val="20"/>
    </w:rPr>
  </w:style>
  <w:style w:type="paragraph" w:styleId="831">
    <w:name w:val="toc 1"/>
    <w:basedOn w:val="812"/>
    <w:next w:val="812"/>
    <w:uiPriority w:val="39"/>
    <w:unhideWhenUsed/>
    <w:pPr>
      <w:pBdr/>
      <w:spacing w:after="100"/>
      <w:ind/>
    </w:pPr>
  </w:style>
  <w:style w:type="paragraph" w:styleId="832">
    <w:name w:val="toc 2"/>
    <w:basedOn w:val="812"/>
    <w:next w:val="812"/>
    <w:uiPriority w:val="39"/>
    <w:unhideWhenUsed/>
    <w:pPr>
      <w:pBdr/>
      <w:spacing w:after="100"/>
      <w:ind w:left="200"/>
    </w:pPr>
  </w:style>
  <w:style w:type="character" w:styleId="833">
    <w:name w:val="Hyperlink"/>
    <w:basedOn w:val="820"/>
    <w:uiPriority w:val="99"/>
    <w:unhideWhenUsed/>
    <w:pPr>
      <w:pBdr/>
      <w:spacing/>
      <w:ind/>
    </w:pPr>
    <w:rPr>
      <w:color w:val="0563c1" w:themeColor="hyperlink"/>
      <w:u w:val="single"/>
    </w:rPr>
  </w:style>
  <w:style w:type="table" w:styleId="834" w:customStyle="1">
    <w:name w:val="Světlá mřížka tabulky1"/>
    <w:basedOn w:val="821"/>
    <w:uiPriority w:val="40"/>
    <w:pPr>
      <w:pBdr/>
      <w:spacing w:after="0" w:line="240" w:lineRule="auto"/>
      <w:ind/>
    </w:pPr>
    <w:rPr>
      <w:rFonts w:ascii="Times New Roman" w:hAnsi="Times New Roman" w:eastAsia="Times New Roman" w:cs="Times New Roman"/>
      <w:sz w:val="20"/>
      <w:szCs w:val="20"/>
      <w:lang w:eastAsia="cs-CZ"/>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5" w:customStyle="1">
    <w:name w:val="Standard"/>
    <w:link w:val="836"/>
    <w:qFormat/>
    <w:pPr>
      <w:pBdr/>
      <w:tabs>
        <w:tab w:val="left" w:leader="none" w:pos="567"/>
      </w:tabs>
      <w:spacing w:after="0" w:line="360" w:lineRule="auto"/>
      <w:ind/>
      <w:jc w:val="both"/>
    </w:pPr>
    <w:rPr>
      <w:rFonts w:ascii="Arial" w:hAnsi="Arial" w:eastAsia="Times New Roman" w:cs="Times New Roman"/>
      <w:color w:val="00000a"/>
      <w:szCs w:val="20"/>
      <w:lang w:eastAsia="cs-CZ"/>
    </w:rPr>
  </w:style>
  <w:style w:type="character" w:styleId="836" w:customStyle="1">
    <w:name w:val="Standard Char"/>
    <w:basedOn w:val="820"/>
    <w:link w:val="835"/>
    <w:pPr>
      <w:pBdr/>
      <w:spacing/>
      <w:ind/>
    </w:pPr>
    <w:rPr>
      <w:rFonts w:ascii="Arial" w:hAnsi="Arial" w:eastAsia="Times New Roman" w:cs="Times New Roman"/>
      <w:color w:val="00000a"/>
      <w:szCs w:val="20"/>
      <w:lang w:eastAsia="cs-CZ"/>
    </w:rPr>
  </w:style>
  <w:style w:type="table" w:styleId="837">
    <w:name w:val="Table Grid"/>
    <w:basedOn w:val="821"/>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8" w:customStyle="1">
    <w:name w:val="Nadpis 2 Char"/>
    <w:basedOn w:val="820"/>
    <w:link w:val="814"/>
    <w:pPr>
      <w:pBdr/>
      <w:spacing/>
      <w:ind/>
    </w:pPr>
    <w:rPr>
      <w:rFonts w:ascii="Arial Narrow" w:hAnsi="Arial Narrow" w:eastAsia="Times New Roman" w:cs="Arial Narrow"/>
      <w:b/>
      <w:bCs/>
      <w:iCs/>
      <w:sz w:val="24"/>
      <w:szCs w:val="28"/>
      <w:lang w:eastAsia="zh-CN"/>
    </w:rPr>
  </w:style>
  <w:style w:type="character" w:styleId="839" w:customStyle="1">
    <w:name w:val="Nadpis 3 Char"/>
    <w:basedOn w:val="820"/>
    <w:link w:val="815"/>
    <w:pPr>
      <w:pBdr/>
      <w:spacing/>
      <w:ind/>
    </w:pPr>
    <w:rPr>
      <w:rFonts w:ascii="Arial Narrow" w:hAnsi="Arial Narrow" w:eastAsia="Times New Roman" w:cs="Arial Narrow"/>
      <w:b/>
      <w:bCs/>
      <w:sz w:val="24"/>
      <w:szCs w:val="26"/>
      <w:lang w:eastAsia="zh-CN"/>
    </w:rPr>
  </w:style>
  <w:style w:type="character" w:styleId="840" w:customStyle="1">
    <w:name w:val="Nadpis 4 Char"/>
    <w:basedOn w:val="820"/>
    <w:link w:val="816"/>
    <w:pPr>
      <w:pBdr/>
      <w:spacing/>
      <w:ind/>
    </w:pPr>
    <w:rPr>
      <w:rFonts w:ascii="Calibri" w:hAnsi="Calibri" w:eastAsia="Times New Roman" w:cs="Calibri"/>
      <w:b/>
      <w:bCs/>
      <w:sz w:val="28"/>
      <w:szCs w:val="28"/>
      <w:lang w:eastAsia="zh-CN"/>
    </w:rPr>
  </w:style>
  <w:style w:type="character" w:styleId="841" w:customStyle="1">
    <w:name w:val="Nadpis 8 Char"/>
    <w:basedOn w:val="820"/>
    <w:link w:val="818"/>
    <w:pPr>
      <w:pBdr/>
      <w:spacing/>
      <w:ind/>
    </w:pPr>
    <w:rPr>
      <w:rFonts w:ascii="Cambria" w:hAnsi="Cambria" w:eastAsia="Times New Roman" w:cs="Cambria"/>
      <w:sz w:val="20"/>
      <w:szCs w:val="20"/>
      <w:lang w:eastAsia="cs-CZ"/>
    </w:rPr>
  </w:style>
  <w:style w:type="character" w:styleId="842" w:customStyle="1">
    <w:name w:val="Nadpis 9 Char"/>
    <w:basedOn w:val="820"/>
    <w:link w:val="819"/>
    <w:pPr>
      <w:pBdr/>
      <w:spacing/>
      <w:ind/>
    </w:pPr>
    <w:rPr>
      <w:rFonts w:ascii="Cambria" w:hAnsi="Cambria" w:eastAsia="Times New Roman" w:cs="Cambria"/>
      <w:i/>
      <w:iCs/>
      <w:sz w:val="20"/>
      <w:szCs w:val="20"/>
      <w:lang w:eastAsia="cs-CZ"/>
    </w:rPr>
  </w:style>
  <w:style w:type="character" w:styleId="843" w:customStyle="1">
    <w:name w:val="WW8Num1z0"/>
    <w:pPr>
      <w:pBdr/>
      <w:spacing/>
      <w:ind/>
    </w:pPr>
  </w:style>
  <w:style w:type="character" w:styleId="844" w:customStyle="1">
    <w:name w:val="WW8Num1z1"/>
    <w:pPr>
      <w:pBdr/>
      <w:spacing/>
      <w:ind/>
    </w:pPr>
  </w:style>
  <w:style w:type="character" w:styleId="845" w:customStyle="1">
    <w:name w:val="WW8Num1z2"/>
    <w:pPr>
      <w:pBdr/>
      <w:spacing/>
      <w:ind/>
    </w:pPr>
  </w:style>
  <w:style w:type="character" w:styleId="846" w:customStyle="1">
    <w:name w:val="WW8Num1z3"/>
    <w:pPr>
      <w:pBdr/>
      <w:spacing/>
      <w:ind/>
    </w:pPr>
  </w:style>
  <w:style w:type="character" w:styleId="847" w:customStyle="1">
    <w:name w:val="WW8Num1z4"/>
    <w:pPr>
      <w:pBdr/>
      <w:spacing/>
      <w:ind/>
    </w:pPr>
  </w:style>
  <w:style w:type="character" w:styleId="848" w:customStyle="1">
    <w:name w:val="WW8Num1z5"/>
    <w:pPr>
      <w:pBdr/>
      <w:spacing/>
      <w:ind/>
    </w:pPr>
  </w:style>
  <w:style w:type="character" w:styleId="849" w:customStyle="1">
    <w:name w:val="WW8Num1z6"/>
    <w:pPr>
      <w:pBdr/>
      <w:spacing/>
      <w:ind/>
    </w:pPr>
  </w:style>
  <w:style w:type="character" w:styleId="850" w:customStyle="1">
    <w:name w:val="WW8Num1z7"/>
    <w:pPr>
      <w:pBdr/>
      <w:spacing/>
      <w:ind/>
    </w:pPr>
  </w:style>
  <w:style w:type="character" w:styleId="851" w:customStyle="1">
    <w:name w:val="WW8Num1z8"/>
    <w:pPr>
      <w:pBdr/>
      <w:spacing/>
      <w:ind/>
    </w:pPr>
  </w:style>
  <w:style w:type="character" w:styleId="852" w:customStyle="1">
    <w:name w:val="WW8Num2z0"/>
    <w:pPr>
      <w:pBdr/>
      <w:spacing/>
      <w:ind/>
    </w:pPr>
    <w:rPr>
      <w:rFonts w:hint="default" w:ascii="Symbol" w:hAnsi="Symbol" w:cs="Symbol"/>
    </w:rPr>
  </w:style>
  <w:style w:type="character" w:styleId="853" w:customStyle="1">
    <w:name w:val="WW8Num3z0"/>
    <w:pPr>
      <w:pBdr/>
      <w:spacing/>
      <w:ind/>
    </w:pPr>
  </w:style>
  <w:style w:type="character" w:styleId="854" w:customStyle="1">
    <w:name w:val="WW8Num3z1"/>
    <w:pPr>
      <w:pBdr/>
      <w:spacing/>
      <w:ind/>
    </w:pPr>
    <w:rPr>
      <w:b/>
    </w:rPr>
  </w:style>
  <w:style w:type="character" w:styleId="855" w:customStyle="1">
    <w:name w:val="WW8Num3z2"/>
    <w:pPr>
      <w:pBdr/>
      <w:spacing/>
      <w:ind/>
    </w:pPr>
  </w:style>
  <w:style w:type="character" w:styleId="856" w:customStyle="1">
    <w:name w:val="WW8Num3z3"/>
    <w:pPr>
      <w:pBdr/>
      <w:spacing/>
      <w:ind/>
    </w:pPr>
  </w:style>
  <w:style w:type="character" w:styleId="857" w:customStyle="1">
    <w:name w:val="WW8Num3z4"/>
    <w:pPr>
      <w:pBdr/>
      <w:spacing/>
      <w:ind/>
    </w:pPr>
  </w:style>
  <w:style w:type="character" w:styleId="858" w:customStyle="1">
    <w:name w:val="WW8Num3z5"/>
    <w:pPr>
      <w:pBdr/>
      <w:spacing/>
      <w:ind/>
    </w:pPr>
  </w:style>
  <w:style w:type="character" w:styleId="859" w:customStyle="1">
    <w:name w:val="WW8Num3z6"/>
    <w:pPr>
      <w:pBdr/>
      <w:spacing/>
      <w:ind/>
    </w:pPr>
  </w:style>
  <w:style w:type="character" w:styleId="860" w:customStyle="1">
    <w:name w:val="WW8Num3z7"/>
    <w:pPr>
      <w:pBdr/>
      <w:spacing/>
      <w:ind/>
    </w:pPr>
  </w:style>
  <w:style w:type="character" w:styleId="861" w:customStyle="1">
    <w:name w:val="WW8Num3z8"/>
    <w:pPr>
      <w:pBdr/>
      <w:spacing/>
      <w:ind/>
    </w:pPr>
  </w:style>
  <w:style w:type="character" w:styleId="862" w:customStyle="1">
    <w:name w:val="WW8Num4z0"/>
    <w:pPr>
      <w:pBdr/>
      <w:spacing/>
      <w:ind/>
    </w:pPr>
    <w:rPr>
      <w:rFonts w:hint="default" w:ascii="Symbol" w:hAnsi="Symbol" w:eastAsia="Times New Roman" w:cs="Symbol"/>
      <w:szCs w:val="24"/>
      <w:lang w:eastAsia="cs-CZ"/>
    </w:rPr>
  </w:style>
  <w:style w:type="character" w:styleId="863" w:customStyle="1">
    <w:name w:val="WW8Num5z0"/>
    <w:pPr>
      <w:pBdr/>
      <w:spacing/>
      <w:ind/>
    </w:pPr>
  </w:style>
  <w:style w:type="character" w:styleId="864" w:customStyle="1">
    <w:name w:val="WW8Num5z1"/>
    <w:pPr>
      <w:pBdr/>
      <w:spacing/>
      <w:ind/>
    </w:pPr>
  </w:style>
  <w:style w:type="character" w:styleId="865" w:customStyle="1">
    <w:name w:val="WW8Num5z2"/>
    <w:pPr>
      <w:pBdr/>
      <w:spacing/>
      <w:ind/>
    </w:pPr>
  </w:style>
  <w:style w:type="character" w:styleId="866" w:customStyle="1">
    <w:name w:val="WW8Num5z3"/>
    <w:pPr>
      <w:pBdr/>
      <w:spacing/>
      <w:ind/>
    </w:pPr>
  </w:style>
  <w:style w:type="character" w:styleId="867" w:customStyle="1">
    <w:name w:val="WW8Num5z4"/>
    <w:pPr>
      <w:pBdr/>
      <w:spacing/>
      <w:ind/>
    </w:pPr>
  </w:style>
  <w:style w:type="character" w:styleId="868" w:customStyle="1">
    <w:name w:val="WW8Num5z5"/>
    <w:pPr>
      <w:pBdr/>
      <w:spacing/>
      <w:ind/>
    </w:pPr>
  </w:style>
  <w:style w:type="character" w:styleId="869" w:customStyle="1">
    <w:name w:val="WW8Num5z6"/>
    <w:pPr>
      <w:pBdr/>
      <w:spacing/>
      <w:ind/>
    </w:pPr>
  </w:style>
  <w:style w:type="character" w:styleId="870" w:customStyle="1">
    <w:name w:val="WW8Num5z7"/>
    <w:pPr>
      <w:pBdr/>
      <w:spacing/>
      <w:ind/>
    </w:pPr>
  </w:style>
  <w:style w:type="character" w:styleId="871" w:customStyle="1">
    <w:name w:val="WW8Num5z8"/>
    <w:pPr>
      <w:pBdr/>
      <w:spacing/>
      <w:ind/>
    </w:pPr>
  </w:style>
  <w:style w:type="character" w:styleId="872" w:customStyle="1">
    <w:name w:val="WW8Num2z1"/>
    <w:pPr>
      <w:pBdr/>
      <w:spacing/>
      <w:ind/>
    </w:pPr>
    <w:rPr>
      <w:rFonts w:hint="default" w:ascii="Courier New" w:hAnsi="Courier New" w:cs="Courier New"/>
    </w:rPr>
  </w:style>
  <w:style w:type="character" w:styleId="873" w:customStyle="1">
    <w:name w:val="WW8Num2z2"/>
    <w:pPr>
      <w:pBdr/>
      <w:spacing/>
      <w:ind/>
    </w:pPr>
    <w:rPr>
      <w:rFonts w:hint="default" w:ascii="Wingdings" w:hAnsi="Wingdings" w:cs="Wingdings"/>
    </w:rPr>
  </w:style>
  <w:style w:type="character" w:styleId="874" w:customStyle="1">
    <w:name w:val="WW8Num6z0"/>
    <w:pPr>
      <w:pBdr/>
      <w:spacing/>
      <w:ind/>
    </w:pPr>
  </w:style>
  <w:style w:type="character" w:styleId="875" w:customStyle="1">
    <w:name w:val="WW8Num6z1"/>
    <w:pPr>
      <w:pBdr/>
      <w:spacing/>
      <w:ind/>
    </w:pPr>
    <w:rPr>
      <w:b/>
    </w:rPr>
  </w:style>
  <w:style w:type="character" w:styleId="876" w:customStyle="1">
    <w:name w:val="WW8Num6z2"/>
    <w:pPr>
      <w:pBdr/>
      <w:spacing/>
      <w:ind/>
    </w:pPr>
  </w:style>
  <w:style w:type="character" w:styleId="877" w:customStyle="1">
    <w:name w:val="WW8Num6z3"/>
    <w:pPr>
      <w:pBdr/>
      <w:spacing/>
      <w:ind/>
    </w:pPr>
  </w:style>
  <w:style w:type="character" w:styleId="878" w:customStyle="1">
    <w:name w:val="WW8Num6z4"/>
    <w:pPr>
      <w:pBdr/>
      <w:spacing/>
      <w:ind/>
    </w:pPr>
  </w:style>
  <w:style w:type="character" w:styleId="879" w:customStyle="1">
    <w:name w:val="WW8Num6z5"/>
    <w:pPr>
      <w:pBdr/>
      <w:spacing/>
      <w:ind/>
    </w:pPr>
  </w:style>
  <w:style w:type="character" w:styleId="880" w:customStyle="1">
    <w:name w:val="WW8Num6z6"/>
    <w:pPr>
      <w:pBdr/>
      <w:spacing/>
      <w:ind/>
    </w:pPr>
  </w:style>
  <w:style w:type="character" w:styleId="881" w:customStyle="1">
    <w:name w:val="WW8Num6z7"/>
    <w:pPr>
      <w:pBdr/>
      <w:spacing/>
      <w:ind/>
    </w:pPr>
  </w:style>
  <w:style w:type="character" w:styleId="882" w:customStyle="1">
    <w:name w:val="WW8Num6z8"/>
    <w:pPr>
      <w:pBdr/>
      <w:spacing/>
      <w:ind/>
    </w:pPr>
  </w:style>
  <w:style w:type="character" w:styleId="883" w:customStyle="1">
    <w:name w:val="WW8NumSt2z0"/>
    <w:pPr>
      <w:pBdr/>
      <w:spacing/>
      <w:ind/>
    </w:pPr>
    <w:rPr>
      <w:rFonts w:hint="default" w:ascii="Symbol" w:hAnsi="Symbol" w:eastAsia="Times New Roman" w:cs="Symbol"/>
      <w:szCs w:val="24"/>
      <w:lang w:eastAsia="cs-CZ"/>
    </w:rPr>
  </w:style>
  <w:style w:type="character" w:styleId="884" w:customStyle="1">
    <w:name w:val="WW8NumSt3z0"/>
    <w:pPr>
      <w:pBdr/>
      <w:spacing/>
      <w:ind/>
    </w:pPr>
    <w:rPr>
      <w:rFonts w:hint="default" w:ascii="Symbol" w:hAnsi="Symbol" w:cs="Symbol"/>
    </w:rPr>
  </w:style>
  <w:style w:type="character" w:styleId="885" w:customStyle="1">
    <w:name w:val="WW8NumSt6z0"/>
    <w:pPr>
      <w:pBdr/>
      <w:spacing/>
      <w:ind/>
    </w:pPr>
    <w:rPr>
      <w:rFonts w:hint="default" w:ascii="Symbol" w:hAnsi="Symbol" w:cs="Times New Roman"/>
    </w:rPr>
  </w:style>
  <w:style w:type="character" w:styleId="886" w:customStyle="1">
    <w:name w:val="Standardní písmo odstavce1"/>
    <w:pPr>
      <w:pBdr/>
      <w:spacing/>
      <w:ind/>
    </w:pPr>
  </w:style>
  <w:style w:type="character" w:styleId="887" w:customStyle="1">
    <w:name w:val="Text bubliny Char"/>
    <w:uiPriority w:val="99"/>
    <w:pPr>
      <w:pBdr/>
      <w:spacing/>
      <w:ind/>
    </w:pPr>
    <w:rPr>
      <w:rFonts w:ascii="Tahoma" w:hAnsi="Tahoma" w:cs="Tahoma"/>
      <w:sz w:val="16"/>
      <w:szCs w:val="16"/>
    </w:rPr>
  </w:style>
  <w:style w:type="character" w:styleId="888" w:customStyle="1">
    <w:name w:val="Text písmene Char"/>
    <w:pPr>
      <w:pBdr/>
      <w:spacing/>
      <w:ind/>
    </w:pPr>
    <w:rPr>
      <w:rFonts w:ascii="Times New Roman" w:hAnsi="Times New Roman" w:eastAsia="Times New Roman" w:cs="Times New Roman"/>
      <w:sz w:val="24"/>
    </w:rPr>
  </w:style>
  <w:style w:type="character" w:styleId="889" w:customStyle="1">
    <w:name w:val="Základní text 2 Char"/>
    <w:pPr>
      <w:pBdr/>
      <w:spacing/>
      <w:ind/>
    </w:pPr>
    <w:rPr>
      <w:rFonts w:ascii="Times New Roman" w:hAnsi="Times New Roman" w:eastAsia="Times New Roman" w:cs="Times New Roman"/>
    </w:rPr>
  </w:style>
  <w:style w:type="character" w:styleId="890" w:customStyle="1">
    <w:name w:val="Základní text 3 Char"/>
    <w:link w:val="891"/>
    <w:pPr>
      <w:pBdr/>
      <w:spacing/>
      <w:ind/>
    </w:pPr>
    <w:rPr>
      <w:rFonts w:ascii="Times New Roman" w:hAnsi="Times New Roman" w:eastAsia="Times New Roman" w:cs="Times New Roman"/>
      <w:sz w:val="16"/>
      <w:szCs w:val="16"/>
    </w:rPr>
  </w:style>
  <w:style w:type="paragraph" w:styleId="891">
    <w:name w:val="Body Text 3"/>
    <w:basedOn w:val="812"/>
    <w:link w:val="890"/>
    <w:pPr>
      <w:pBdr/>
      <w:spacing w:after="120" w:line="240" w:lineRule="auto"/>
      <w:ind/>
      <w:jc w:val="left"/>
    </w:pPr>
    <w:rPr>
      <w:rFonts w:ascii="Times New Roman" w:hAnsi="Times New Roman" w:eastAsia="Times New Roman" w:cs="Times New Roman"/>
      <w:sz w:val="16"/>
      <w:szCs w:val="16"/>
    </w:rPr>
  </w:style>
  <w:style w:type="character" w:styleId="892" w:customStyle="1">
    <w:name w:val="Základní text 3 Char1"/>
    <w:basedOn w:val="820"/>
    <w:uiPriority w:val="99"/>
    <w:semiHidden/>
    <w:pPr>
      <w:pBdr/>
      <w:spacing/>
      <w:ind/>
    </w:pPr>
    <w:rPr>
      <w:rFonts w:ascii="Arial" w:hAnsi="Arial"/>
      <w:sz w:val="16"/>
      <w:szCs w:val="16"/>
    </w:rPr>
  </w:style>
  <w:style w:type="character" w:styleId="893" w:customStyle="1">
    <w:name w:val="Základní text Char"/>
    <w:pPr>
      <w:pBdr/>
      <w:spacing/>
      <w:ind/>
    </w:pPr>
    <w:rPr>
      <w:rFonts w:ascii="Times New Roman" w:hAnsi="Times New Roman" w:eastAsia="Times New Roman" w:cs="Times New Roman"/>
      <w:sz w:val="24"/>
      <w:szCs w:val="24"/>
    </w:rPr>
  </w:style>
  <w:style w:type="character" w:styleId="894" w:customStyle="1">
    <w:name w:val="Prostý text Char"/>
    <w:pPr>
      <w:pBdr/>
      <w:spacing/>
      <w:ind/>
    </w:pPr>
    <w:rPr>
      <w:rFonts w:ascii="Courier New" w:hAnsi="Courier New" w:eastAsia="Times New Roman" w:cs="Courier New"/>
    </w:rPr>
  </w:style>
  <w:style w:type="paragraph" w:styleId="895" w:customStyle="1">
    <w:name w:val="Nadpis"/>
    <w:basedOn w:val="812"/>
    <w:next w:val="896"/>
    <w:pPr>
      <w:keepNext w:val="true"/>
      <w:pBdr/>
      <w:spacing w:after="120" w:before="240" w:line="240" w:lineRule="auto"/>
      <w:ind/>
      <w:jc w:val="left"/>
    </w:pPr>
    <w:rPr>
      <w:rFonts w:ascii="Liberation Sans" w:hAnsi="Liberation Sans" w:eastAsia="Microsoft YaHei" w:cs="Arial"/>
      <w:sz w:val="28"/>
      <w:szCs w:val="28"/>
      <w:lang w:eastAsia="zh-CN"/>
    </w:rPr>
  </w:style>
  <w:style w:type="paragraph" w:styleId="896">
    <w:name w:val="Body Text"/>
    <w:basedOn w:val="812"/>
    <w:link w:val="897"/>
    <w:pPr>
      <w:pBdr/>
      <w:spacing w:after="120" w:line="240" w:lineRule="auto"/>
      <w:ind/>
      <w:jc w:val="left"/>
    </w:pPr>
    <w:rPr>
      <w:rFonts w:ascii="Times New Roman" w:hAnsi="Times New Roman" w:eastAsia="Times New Roman" w:cs="Times New Roman"/>
      <w:sz w:val="24"/>
      <w:szCs w:val="24"/>
      <w:lang w:eastAsia="zh-CN"/>
    </w:rPr>
  </w:style>
  <w:style w:type="character" w:styleId="897" w:customStyle="1">
    <w:name w:val="Základní text Char1"/>
    <w:basedOn w:val="820"/>
    <w:link w:val="896"/>
    <w:pPr>
      <w:pBdr/>
      <w:spacing/>
      <w:ind/>
    </w:pPr>
    <w:rPr>
      <w:rFonts w:ascii="Times New Roman" w:hAnsi="Times New Roman" w:eastAsia="Times New Roman" w:cs="Times New Roman"/>
      <w:sz w:val="24"/>
      <w:szCs w:val="24"/>
      <w:lang w:eastAsia="zh-CN"/>
    </w:rPr>
  </w:style>
  <w:style w:type="paragraph" w:styleId="898">
    <w:name w:val="List"/>
    <w:basedOn w:val="812"/>
    <w:pPr>
      <w:pBdr/>
      <w:spacing w:after="0" w:line="240" w:lineRule="auto"/>
      <w:ind w:hanging="283" w:left="283"/>
      <w:contextualSpacing w:val="true"/>
      <w:jc w:val="left"/>
    </w:pPr>
    <w:rPr>
      <w:rFonts w:ascii="Arial Narrow" w:hAnsi="Arial Narrow" w:eastAsia="Calibri" w:cs="Arial Narrow"/>
      <w:sz w:val="24"/>
      <w:lang w:eastAsia="zh-CN"/>
    </w:rPr>
  </w:style>
  <w:style w:type="paragraph" w:styleId="899">
    <w:name w:val="Caption"/>
    <w:basedOn w:val="812"/>
    <w:qFormat/>
    <w:pPr>
      <w:suppressLineNumbers w:val="true"/>
      <w:pBdr/>
      <w:spacing w:after="120" w:before="120" w:line="240" w:lineRule="auto"/>
      <w:ind/>
      <w:jc w:val="left"/>
    </w:pPr>
    <w:rPr>
      <w:rFonts w:ascii="Arial Narrow" w:hAnsi="Arial Narrow" w:eastAsia="Calibri" w:cs="Arial"/>
      <w:i/>
      <w:iCs/>
      <w:sz w:val="24"/>
      <w:szCs w:val="24"/>
      <w:lang w:eastAsia="zh-CN"/>
    </w:rPr>
  </w:style>
  <w:style w:type="paragraph" w:styleId="900" w:customStyle="1">
    <w:name w:val="Rejstřík"/>
    <w:basedOn w:val="812"/>
    <w:pPr>
      <w:suppressLineNumbers w:val="true"/>
      <w:pBdr/>
      <w:spacing w:after="0" w:line="240" w:lineRule="auto"/>
      <w:ind/>
      <w:jc w:val="left"/>
    </w:pPr>
    <w:rPr>
      <w:rFonts w:ascii="Arial Narrow" w:hAnsi="Arial Narrow" w:eastAsia="Calibri" w:cs="Arial"/>
      <w:sz w:val="24"/>
      <w:lang w:eastAsia="zh-CN"/>
    </w:rPr>
  </w:style>
  <w:style w:type="character" w:styleId="901" w:customStyle="1">
    <w:name w:val="Záhlaví Char1"/>
    <w:basedOn w:val="820"/>
    <w:uiPriority w:val="99"/>
    <w:pPr>
      <w:pBdr/>
      <w:spacing/>
      <w:ind/>
    </w:pPr>
    <w:rPr>
      <w:rFonts w:ascii="Calibri" w:hAnsi="Calibri" w:eastAsia="Calibri" w:cs="Calibri"/>
      <w:lang w:eastAsia="zh-CN"/>
    </w:rPr>
  </w:style>
  <w:style w:type="character" w:styleId="902" w:customStyle="1">
    <w:name w:val="Zápatí Char1"/>
    <w:basedOn w:val="820"/>
    <w:uiPriority w:val="99"/>
    <w:pPr>
      <w:pBdr/>
      <w:spacing/>
      <w:ind/>
    </w:pPr>
    <w:rPr>
      <w:rFonts w:ascii="Calibri" w:hAnsi="Calibri" w:eastAsia="Calibri" w:cs="Calibri"/>
      <w:lang w:eastAsia="zh-CN"/>
    </w:rPr>
  </w:style>
  <w:style w:type="paragraph" w:styleId="903" w:customStyle="1">
    <w:name w:val="Default"/>
    <w:pPr>
      <w:pBdr/>
      <w:spacing w:after="0" w:line="240" w:lineRule="auto"/>
      <w:ind/>
    </w:pPr>
    <w:rPr>
      <w:rFonts w:ascii="Book Antiqua" w:hAnsi="Book Antiqua" w:eastAsia="Calibri" w:cs="Book Antiqua"/>
      <w:color w:val="000000"/>
      <w:sz w:val="24"/>
      <w:szCs w:val="24"/>
      <w:lang w:eastAsia="zh-CN"/>
    </w:rPr>
  </w:style>
  <w:style w:type="paragraph" w:styleId="904">
    <w:name w:val="toa heading"/>
    <w:basedOn w:val="813"/>
    <w:next w:val="812"/>
    <w:pPr>
      <w:keepLines w:val="true"/>
      <w:numPr>
        <w:numId w:val="0"/>
      </w:numPr>
      <w:pBdr/>
      <w:spacing w:before="480" w:line="276" w:lineRule="auto"/>
      <w:ind/>
    </w:pPr>
    <w:rPr>
      <w:rFonts w:ascii="Cambria" w:hAnsi="Cambria"/>
      <w:bCs/>
      <w:color w:val="365f91"/>
      <w:sz w:val="28"/>
      <w:szCs w:val="28"/>
      <w:lang w:eastAsia="zh-CN"/>
    </w:rPr>
  </w:style>
  <w:style w:type="paragraph" w:styleId="905">
    <w:name w:val="toc 3"/>
    <w:basedOn w:val="812"/>
    <w:next w:val="812"/>
    <w:uiPriority w:val="39"/>
    <w:pPr>
      <w:pBdr/>
      <w:tabs>
        <w:tab w:val="right" w:leader="dot" w:pos="9486"/>
      </w:tabs>
      <w:spacing w:after="0" w:line="240" w:lineRule="auto"/>
      <w:ind w:left="284"/>
      <w:jc w:val="left"/>
    </w:pPr>
    <w:rPr>
      <w:rFonts w:ascii="Arial Narrow" w:hAnsi="Arial Narrow" w:eastAsia="Calibri" w:cs="Arial Narrow"/>
      <w:sz w:val="24"/>
      <w:lang w:eastAsia="zh-CN"/>
    </w:rPr>
  </w:style>
  <w:style w:type="paragraph" w:styleId="906">
    <w:name w:val="Balloon Text"/>
    <w:basedOn w:val="812"/>
    <w:link w:val="907"/>
    <w:uiPriority w:val="99"/>
    <w:pPr>
      <w:pBdr/>
      <w:spacing w:after="0" w:line="240" w:lineRule="auto"/>
      <w:ind/>
      <w:jc w:val="left"/>
    </w:pPr>
    <w:rPr>
      <w:rFonts w:ascii="Tahoma" w:hAnsi="Tahoma" w:eastAsia="Calibri" w:cs="Tahoma"/>
      <w:sz w:val="16"/>
      <w:szCs w:val="16"/>
      <w:lang w:eastAsia="zh-CN"/>
    </w:rPr>
  </w:style>
  <w:style w:type="character" w:styleId="907" w:customStyle="1">
    <w:name w:val="Text bubliny Char1"/>
    <w:basedOn w:val="820"/>
    <w:link w:val="906"/>
    <w:uiPriority w:val="99"/>
    <w:pPr>
      <w:pBdr/>
      <w:spacing/>
      <w:ind/>
    </w:pPr>
    <w:rPr>
      <w:rFonts w:ascii="Tahoma" w:hAnsi="Tahoma" w:eastAsia="Calibri" w:cs="Tahoma"/>
      <w:sz w:val="16"/>
      <w:szCs w:val="16"/>
      <w:lang w:eastAsia="zh-CN"/>
    </w:rPr>
  </w:style>
  <w:style w:type="paragraph" w:styleId="908">
    <w:name w:val="toc 4"/>
    <w:basedOn w:val="812"/>
    <w:next w:val="812"/>
    <w:pPr>
      <w:pBdr/>
      <w:spacing w:after="100" w:line="276" w:lineRule="auto"/>
      <w:ind w:left="660"/>
      <w:jc w:val="left"/>
    </w:pPr>
    <w:rPr>
      <w:rFonts w:ascii="Calibri" w:hAnsi="Calibri" w:eastAsia="Times New Roman" w:cs="Times New Roman"/>
      <w:sz w:val="22"/>
      <w:lang w:eastAsia="zh-CN"/>
    </w:rPr>
  </w:style>
  <w:style w:type="paragraph" w:styleId="909">
    <w:name w:val="toc 5"/>
    <w:basedOn w:val="812"/>
    <w:next w:val="812"/>
    <w:pPr>
      <w:pBdr/>
      <w:spacing w:after="100" w:line="276" w:lineRule="auto"/>
      <w:ind w:left="880"/>
      <w:jc w:val="left"/>
    </w:pPr>
    <w:rPr>
      <w:rFonts w:ascii="Calibri" w:hAnsi="Calibri" w:eastAsia="Times New Roman" w:cs="Times New Roman"/>
      <w:sz w:val="22"/>
      <w:lang w:eastAsia="zh-CN"/>
    </w:rPr>
  </w:style>
  <w:style w:type="paragraph" w:styleId="910">
    <w:name w:val="toc 6"/>
    <w:basedOn w:val="812"/>
    <w:next w:val="812"/>
    <w:pPr>
      <w:pBdr/>
      <w:spacing w:after="100" w:line="276" w:lineRule="auto"/>
      <w:ind w:left="1100"/>
      <w:jc w:val="left"/>
    </w:pPr>
    <w:rPr>
      <w:rFonts w:ascii="Calibri" w:hAnsi="Calibri" w:eastAsia="Times New Roman" w:cs="Times New Roman"/>
      <w:sz w:val="22"/>
      <w:lang w:eastAsia="zh-CN"/>
    </w:rPr>
  </w:style>
  <w:style w:type="paragraph" w:styleId="911">
    <w:name w:val="toc 7"/>
    <w:basedOn w:val="812"/>
    <w:next w:val="812"/>
    <w:pPr>
      <w:pBdr/>
      <w:spacing w:after="100" w:line="276" w:lineRule="auto"/>
      <w:ind w:left="1320"/>
      <w:jc w:val="left"/>
    </w:pPr>
    <w:rPr>
      <w:rFonts w:ascii="Calibri" w:hAnsi="Calibri" w:eastAsia="Times New Roman" w:cs="Times New Roman"/>
      <w:sz w:val="22"/>
      <w:lang w:eastAsia="zh-CN"/>
    </w:rPr>
  </w:style>
  <w:style w:type="paragraph" w:styleId="912">
    <w:name w:val="toc 8"/>
    <w:basedOn w:val="812"/>
    <w:next w:val="812"/>
    <w:pPr>
      <w:pBdr/>
      <w:spacing w:after="100" w:line="276" w:lineRule="auto"/>
      <w:ind w:left="1540"/>
      <w:jc w:val="left"/>
    </w:pPr>
    <w:rPr>
      <w:rFonts w:ascii="Calibri" w:hAnsi="Calibri" w:eastAsia="Times New Roman" w:cs="Times New Roman"/>
      <w:sz w:val="22"/>
      <w:lang w:eastAsia="zh-CN"/>
    </w:rPr>
  </w:style>
  <w:style w:type="paragraph" w:styleId="913">
    <w:name w:val="toc 9"/>
    <w:basedOn w:val="812"/>
    <w:next w:val="812"/>
    <w:pPr>
      <w:pBdr/>
      <w:spacing w:after="100" w:line="276" w:lineRule="auto"/>
      <w:ind w:left="1760"/>
      <w:jc w:val="left"/>
    </w:pPr>
    <w:rPr>
      <w:rFonts w:ascii="Calibri" w:hAnsi="Calibri" w:eastAsia="Times New Roman" w:cs="Times New Roman"/>
      <w:sz w:val="22"/>
      <w:lang w:eastAsia="zh-CN"/>
    </w:rPr>
  </w:style>
  <w:style w:type="paragraph" w:styleId="914" w:customStyle="1">
    <w:name w:val="Text odstavce"/>
    <w:basedOn w:val="812"/>
    <w:pPr>
      <w:numPr>
        <w:numId w:val="25"/>
      </w:numPr>
      <w:pBdr/>
      <w:tabs>
        <w:tab w:val="left" w:leader="none" w:pos="851"/>
      </w:tabs>
      <w:spacing w:after="120" w:before="120" w:line="240" w:lineRule="auto"/>
      <w:ind/>
    </w:pPr>
    <w:rPr>
      <w:rFonts w:ascii="Times New Roman" w:hAnsi="Times New Roman" w:eastAsia="Times New Roman" w:cs="Times New Roman"/>
      <w:sz w:val="24"/>
      <w:szCs w:val="20"/>
      <w:lang w:eastAsia="zh-CN"/>
    </w:rPr>
  </w:style>
  <w:style w:type="paragraph" w:styleId="915" w:customStyle="1">
    <w:name w:val="Text bodu"/>
    <w:basedOn w:val="812"/>
    <w:pPr>
      <w:pBdr/>
      <w:tabs>
        <w:tab w:val="num" w:leader="none" w:pos="785"/>
      </w:tabs>
      <w:spacing w:after="0" w:line="240" w:lineRule="auto"/>
      <w:ind w:firstLine="425"/>
    </w:pPr>
    <w:rPr>
      <w:rFonts w:ascii="Times New Roman" w:hAnsi="Times New Roman" w:eastAsia="Times New Roman" w:cs="Times New Roman"/>
      <w:sz w:val="24"/>
      <w:szCs w:val="20"/>
      <w:lang w:eastAsia="zh-CN"/>
    </w:rPr>
  </w:style>
  <w:style w:type="paragraph" w:styleId="916" w:customStyle="1">
    <w:name w:val="Text písmene"/>
    <w:basedOn w:val="812"/>
    <w:pPr>
      <w:pBdr/>
      <w:tabs>
        <w:tab w:val="num" w:leader="none" w:pos="785"/>
      </w:tabs>
      <w:spacing w:after="0" w:line="240" w:lineRule="auto"/>
      <w:ind w:firstLine="425"/>
    </w:pPr>
    <w:rPr>
      <w:rFonts w:ascii="Times New Roman" w:hAnsi="Times New Roman" w:eastAsia="Times New Roman" w:cs="Times New Roman"/>
      <w:sz w:val="24"/>
      <w:szCs w:val="20"/>
      <w:lang w:eastAsia="zh-CN"/>
    </w:rPr>
  </w:style>
  <w:style w:type="paragraph" w:styleId="917" w:customStyle="1">
    <w:name w:val="Základní text 21"/>
    <w:basedOn w:val="812"/>
    <w:pPr>
      <w:pBdr/>
      <w:spacing w:after="120" w:line="480" w:lineRule="auto"/>
      <w:ind/>
      <w:jc w:val="left"/>
    </w:pPr>
    <w:rPr>
      <w:rFonts w:ascii="Times New Roman" w:hAnsi="Times New Roman" w:eastAsia="Times New Roman" w:cs="Times New Roman"/>
      <w:szCs w:val="20"/>
      <w:lang w:eastAsia="zh-CN"/>
    </w:rPr>
  </w:style>
  <w:style w:type="paragraph" w:styleId="918" w:customStyle="1">
    <w:name w:val="Základní text 31"/>
    <w:basedOn w:val="812"/>
    <w:pPr>
      <w:pBdr/>
      <w:spacing w:after="120" w:line="240" w:lineRule="auto"/>
      <w:ind/>
      <w:jc w:val="left"/>
    </w:pPr>
    <w:rPr>
      <w:rFonts w:ascii="Times New Roman" w:hAnsi="Times New Roman" w:eastAsia="Times New Roman" w:cs="Times New Roman"/>
      <w:sz w:val="16"/>
      <w:szCs w:val="16"/>
      <w:lang w:eastAsia="zh-CN"/>
    </w:rPr>
  </w:style>
  <w:style w:type="paragraph" w:styleId="919" w:customStyle="1">
    <w:name w:val="Seznam s odrážkami1"/>
    <w:basedOn w:val="898"/>
    <w:pPr>
      <w:numPr>
        <w:numId w:val="26"/>
      </w:numPr>
      <w:pBdr/>
      <w:spacing w:after="160"/>
      <w:ind w:hanging="360" w:left="720"/>
    </w:pPr>
    <w:rPr>
      <w:rFonts w:ascii="Times New Roman" w:hAnsi="Times New Roman" w:eastAsia="Times New Roman" w:cs="Times New Roman"/>
      <w:sz w:val="20"/>
      <w:szCs w:val="20"/>
    </w:rPr>
  </w:style>
  <w:style w:type="paragraph" w:styleId="920" w:customStyle="1">
    <w:name w:val="Prostý text1"/>
    <w:basedOn w:val="812"/>
    <w:pPr>
      <w:pBdr/>
      <w:spacing w:after="0" w:line="240" w:lineRule="auto"/>
      <w:ind/>
      <w:jc w:val="left"/>
    </w:pPr>
    <w:rPr>
      <w:rFonts w:ascii="Courier New" w:hAnsi="Courier New" w:eastAsia="Times New Roman" w:cs="Courier New"/>
      <w:szCs w:val="20"/>
      <w:lang w:eastAsia="zh-CN"/>
    </w:rPr>
  </w:style>
  <w:style w:type="paragraph" w:styleId="921">
    <w:name w:val="List Bullet 3"/>
    <w:basedOn w:val="812"/>
    <w:pPr>
      <w:pBdr/>
      <w:spacing w:after="0" w:line="240" w:lineRule="auto"/>
      <w:ind w:hanging="283" w:left="849"/>
      <w:contextualSpacing w:val="true"/>
      <w:jc w:val="left"/>
    </w:pPr>
    <w:rPr>
      <w:rFonts w:ascii="Arial Narrow" w:hAnsi="Arial Narrow" w:eastAsia="Calibri" w:cs="Arial Narrow"/>
      <w:sz w:val="24"/>
      <w:lang w:eastAsia="zh-CN"/>
    </w:rPr>
  </w:style>
  <w:style w:type="paragraph" w:styleId="922" w:customStyle="1">
    <w:name w:val="Obsah tabulky"/>
    <w:basedOn w:val="812"/>
    <w:pPr>
      <w:suppressLineNumbers w:val="true"/>
      <w:pBdr/>
      <w:spacing w:after="0" w:line="240" w:lineRule="auto"/>
      <w:ind/>
      <w:jc w:val="left"/>
    </w:pPr>
    <w:rPr>
      <w:rFonts w:ascii="Arial Narrow" w:hAnsi="Arial Narrow" w:eastAsia="Calibri" w:cs="Arial Narrow"/>
      <w:sz w:val="24"/>
      <w:lang w:eastAsia="zh-CN"/>
    </w:rPr>
  </w:style>
  <w:style w:type="paragraph" w:styleId="923" w:customStyle="1">
    <w:name w:val="Nadpis tabulky"/>
    <w:basedOn w:val="922"/>
    <w:pPr>
      <w:pBdr/>
      <w:spacing/>
      <w:ind/>
      <w:jc w:val="center"/>
    </w:pPr>
    <w:rPr>
      <w:b/>
      <w:bCs/>
    </w:rPr>
  </w:style>
  <w:style w:type="character" w:styleId="924" w:customStyle="1">
    <w:name w:val="nowrap"/>
    <w:pPr>
      <w:pBdr/>
      <w:spacing/>
      <w:ind/>
    </w:pPr>
  </w:style>
  <w:style w:type="paragraph" w:styleId="925">
    <w:name w:val="footnote text"/>
    <w:basedOn w:val="812"/>
    <w:link w:val="926"/>
    <w:uiPriority w:val="99"/>
    <w:semiHidden/>
    <w:unhideWhenUsed/>
    <w:pPr>
      <w:pBdr/>
      <w:spacing w:after="0" w:line="240" w:lineRule="auto"/>
      <w:ind/>
      <w:jc w:val="left"/>
    </w:pPr>
    <w:rPr>
      <w:rFonts w:ascii="Arial Narrow" w:hAnsi="Arial Narrow" w:eastAsia="Calibri" w:cs="Times New Roman"/>
      <w:szCs w:val="20"/>
      <w:lang w:eastAsia="zh-CN"/>
    </w:rPr>
  </w:style>
  <w:style w:type="character" w:styleId="926" w:customStyle="1">
    <w:name w:val="Text pozn. pod čarou Char"/>
    <w:basedOn w:val="820"/>
    <w:link w:val="925"/>
    <w:uiPriority w:val="99"/>
    <w:semiHidden/>
    <w:pPr>
      <w:pBdr/>
      <w:spacing/>
      <w:ind/>
    </w:pPr>
    <w:rPr>
      <w:rFonts w:ascii="Arial Narrow" w:hAnsi="Arial Narrow" w:eastAsia="Calibri" w:cs="Times New Roman"/>
      <w:sz w:val="20"/>
      <w:szCs w:val="20"/>
      <w:lang w:eastAsia="zh-CN"/>
    </w:rPr>
  </w:style>
  <w:style w:type="character" w:styleId="927">
    <w:name w:val="footnote reference"/>
    <w:uiPriority w:val="99"/>
    <w:semiHidden/>
    <w:unhideWhenUsed/>
    <w:pPr>
      <w:pBdr/>
      <w:spacing/>
      <w:ind/>
    </w:pPr>
    <w:rPr>
      <w:vertAlign w:val="superscript"/>
    </w:rPr>
  </w:style>
  <w:style w:type="paragraph" w:styleId="928">
    <w:name w:val="Body Text 2"/>
    <w:basedOn w:val="812"/>
    <w:link w:val="929"/>
    <w:uiPriority w:val="99"/>
    <w:semiHidden/>
    <w:unhideWhenUsed/>
    <w:pPr>
      <w:pBdr/>
      <w:spacing w:after="120" w:line="480" w:lineRule="auto"/>
      <w:ind/>
      <w:jc w:val="left"/>
    </w:pPr>
    <w:rPr>
      <w:rFonts w:ascii="Arial Narrow" w:hAnsi="Arial Narrow" w:eastAsia="Calibri" w:cs="Times New Roman"/>
      <w:sz w:val="24"/>
      <w:lang w:eastAsia="zh-CN"/>
    </w:rPr>
  </w:style>
  <w:style w:type="character" w:styleId="929" w:customStyle="1">
    <w:name w:val="Základní text 2 Char1"/>
    <w:basedOn w:val="820"/>
    <w:link w:val="928"/>
    <w:uiPriority w:val="99"/>
    <w:semiHidden/>
    <w:pPr>
      <w:pBdr/>
      <w:spacing/>
      <w:ind/>
    </w:pPr>
    <w:rPr>
      <w:rFonts w:ascii="Arial Narrow" w:hAnsi="Arial Narrow" w:eastAsia="Calibri" w:cs="Times New Roman"/>
      <w:sz w:val="24"/>
      <w:lang w:eastAsia="zh-CN"/>
    </w:rPr>
  </w:style>
  <w:style w:type="character" w:styleId="930" w:customStyle="1">
    <w:name w:val="Heading 1 Char"/>
    <w:pPr>
      <w:pBdr/>
      <w:spacing/>
      <w:ind/>
    </w:pPr>
    <w:rPr>
      <w:rFonts w:ascii="Cambria" w:hAnsi="Cambria" w:cs="Cambria"/>
      <w:b/>
      <w:bCs/>
      <w:color w:val="365f91"/>
      <w:sz w:val="28"/>
      <w:szCs w:val="28"/>
      <w:lang w:eastAsia="cs-CZ"/>
    </w:rPr>
  </w:style>
  <w:style w:type="character" w:styleId="931" w:customStyle="1">
    <w:name w:val="Heading 2 Char"/>
    <w:pPr>
      <w:pBdr/>
      <w:spacing/>
      <w:ind/>
    </w:pPr>
    <w:rPr>
      <w:rFonts w:ascii="Cambria" w:hAnsi="Cambria" w:cs="Cambria"/>
      <w:b/>
      <w:bCs/>
      <w:color w:val="4f81bd"/>
      <w:sz w:val="26"/>
      <w:szCs w:val="26"/>
      <w:lang w:eastAsia="cs-CZ"/>
    </w:rPr>
  </w:style>
  <w:style w:type="character" w:styleId="932" w:customStyle="1">
    <w:name w:val="Heading 3 Char"/>
    <w:pPr>
      <w:pBdr/>
      <w:spacing/>
      <w:ind/>
    </w:pPr>
    <w:rPr>
      <w:rFonts w:ascii="Cambria" w:hAnsi="Cambria" w:cs="Cambria"/>
      <w:b/>
      <w:bCs/>
      <w:sz w:val="26"/>
      <w:szCs w:val="26"/>
    </w:rPr>
  </w:style>
  <w:style w:type="character" w:styleId="933" w:customStyle="1">
    <w:name w:val="Heading 4 Char"/>
    <w:pPr>
      <w:pBdr/>
      <w:spacing/>
      <w:ind/>
    </w:pPr>
    <w:rPr>
      <w:rFonts w:ascii="Times New Roman" w:hAnsi="Times New Roman" w:cs="Times New Roman"/>
      <w:b/>
      <w:bCs/>
      <w:sz w:val="28"/>
      <w:szCs w:val="28"/>
    </w:rPr>
  </w:style>
  <w:style w:type="character" w:styleId="934" w:customStyle="1">
    <w:name w:val="Heading 8 Char"/>
    <w:pPr>
      <w:pBdr/>
      <w:spacing/>
      <w:ind/>
    </w:pPr>
    <w:rPr>
      <w:rFonts w:ascii="Cambria" w:hAnsi="Cambria" w:cs="Cambria"/>
      <w:color w:val="auto"/>
      <w:sz w:val="20"/>
      <w:szCs w:val="20"/>
      <w:lang w:eastAsia="cs-CZ"/>
    </w:rPr>
  </w:style>
  <w:style w:type="character" w:styleId="935" w:customStyle="1">
    <w:name w:val="Heading 9 Char"/>
    <w:pPr>
      <w:pBdr/>
      <w:spacing/>
      <w:ind/>
    </w:pPr>
    <w:rPr>
      <w:rFonts w:ascii="Cambria" w:hAnsi="Cambria" w:cs="Cambria"/>
      <w:i/>
      <w:iCs/>
      <w:color w:val="auto"/>
      <w:sz w:val="20"/>
      <w:szCs w:val="20"/>
      <w:lang w:eastAsia="cs-CZ"/>
    </w:rPr>
  </w:style>
  <w:style w:type="character" w:styleId="936" w:customStyle="1">
    <w:name w:val="Header Char"/>
    <w:pPr>
      <w:pBdr/>
      <w:spacing/>
      <w:ind/>
    </w:pPr>
    <w:rPr>
      <w:rFonts w:ascii="Times New Roman" w:hAnsi="Times New Roman" w:cs="Times New Roman"/>
      <w:sz w:val="24"/>
      <w:szCs w:val="24"/>
      <w:lang w:eastAsia="cs-CZ"/>
    </w:rPr>
  </w:style>
  <w:style w:type="character" w:styleId="937" w:customStyle="1">
    <w:name w:val="Body Text 2 Char"/>
    <w:pPr>
      <w:pBdr/>
      <w:spacing/>
      <w:ind/>
    </w:pPr>
    <w:rPr>
      <w:rFonts w:ascii="Times New Roman" w:hAnsi="Times New Roman" w:cs="Times New Roman"/>
      <w:sz w:val="20"/>
      <w:szCs w:val="20"/>
      <w:lang w:eastAsia="cs-CZ"/>
    </w:rPr>
  </w:style>
  <w:style w:type="paragraph" w:styleId="938" w:customStyle="1">
    <w:name w:val="Odstavec se seznamem1"/>
    <w:basedOn w:val="812"/>
    <w:qFormat/>
    <w:pPr>
      <w:pBdr/>
      <w:spacing w:after="0" w:line="240" w:lineRule="auto"/>
      <w:ind w:left="720"/>
      <w:jc w:val="left"/>
    </w:pPr>
    <w:rPr>
      <w:rFonts w:ascii="Times New Roman" w:hAnsi="Times New Roman" w:eastAsia="Times New Roman" w:cs="Times New Roman"/>
      <w:sz w:val="24"/>
      <w:szCs w:val="24"/>
      <w:lang w:eastAsia="cs-CZ"/>
    </w:rPr>
  </w:style>
  <w:style w:type="character" w:styleId="939" w:customStyle="1">
    <w:name w:val="Footer Char"/>
    <w:pPr>
      <w:pBdr/>
      <w:spacing/>
      <w:ind/>
    </w:pPr>
    <w:rPr>
      <w:rFonts w:ascii="Times New Roman" w:hAnsi="Times New Roman" w:cs="Times New Roman"/>
      <w:sz w:val="24"/>
      <w:szCs w:val="24"/>
      <w:lang w:eastAsia="cs-CZ"/>
    </w:rPr>
  </w:style>
  <w:style w:type="paragraph" w:styleId="940" w:customStyle="1">
    <w:name w:val="Text bubliny1"/>
    <w:basedOn w:val="812"/>
    <w:pPr>
      <w:pBdr/>
      <w:spacing w:after="0" w:line="240" w:lineRule="auto"/>
      <w:ind/>
      <w:jc w:val="left"/>
    </w:pPr>
    <w:rPr>
      <w:rFonts w:ascii="Tahoma" w:hAnsi="Tahoma" w:eastAsia="Times New Roman" w:cs="Tahoma"/>
      <w:sz w:val="16"/>
      <w:szCs w:val="16"/>
      <w:lang w:eastAsia="cs-CZ"/>
    </w:rPr>
  </w:style>
  <w:style w:type="character" w:styleId="941" w:customStyle="1">
    <w:name w:val="Balloon Text Char"/>
    <w:pPr>
      <w:pBdr/>
      <w:spacing/>
      <w:ind/>
    </w:pPr>
    <w:rPr>
      <w:rFonts w:ascii="Tahoma" w:hAnsi="Tahoma" w:cs="Tahoma"/>
      <w:sz w:val="16"/>
      <w:szCs w:val="16"/>
      <w:lang w:eastAsia="cs-CZ"/>
    </w:rPr>
  </w:style>
  <w:style w:type="paragraph" w:styleId="942" w:customStyle="1">
    <w:name w:val="Nadpis obsahu1"/>
    <w:basedOn w:val="813"/>
    <w:next w:val="812"/>
    <w:qFormat/>
    <w:pPr>
      <w:keepLines w:val="true"/>
      <w:numPr>
        <w:numId w:val="0"/>
      </w:numPr>
      <w:pBdr/>
      <w:spacing w:before="480" w:line="276" w:lineRule="auto"/>
      <w:ind/>
      <w:outlineLvl w:val="9"/>
    </w:pPr>
    <w:rPr>
      <w:rFonts w:ascii="Cambria" w:hAnsi="Cambria" w:cs="Cambria"/>
      <w:bCs/>
      <w:color w:val="365f91"/>
      <w:sz w:val="28"/>
      <w:szCs w:val="28"/>
      <w:lang w:eastAsia="en-US"/>
    </w:rPr>
  </w:style>
  <w:style w:type="character" w:styleId="943" w:customStyle="1">
    <w:name w:val="Základní text odsazený 2 Char"/>
    <w:basedOn w:val="820"/>
    <w:link w:val="944"/>
    <w:semiHidden/>
    <w:pPr>
      <w:pBdr/>
      <w:spacing/>
      <w:ind/>
    </w:pPr>
    <w:rPr>
      <w:sz w:val="24"/>
      <w:szCs w:val="24"/>
    </w:rPr>
  </w:style>
  <w:style w:type="paragraph" w:styleId="944">
    <w:name w:val="Body Text Indent 2"/>
    <w:basedOn w:val="812"/>
    <w:link w:val="943"/>
    <w:semiHidden/>
    <w:pPr>
      <w:pBdr/>
      <w:spacing w:after="120" w:line="480" w:lineRule="auto"/>
      <w:ind w:left="283"/>
      <w:jc w:val="left"/>
    </w:pPr>
    <w:rPr>
      <w:rFonts w:asciiTheme="minorHAnsi" w:hAnsiTheme="minorHAnsi"/>
      <w:sz w:val="24"/>
      <w:szCs w:val="24"/>
    </w:rPr>
  </w:style>
  <w:style w:type="character" w:styleId="945" w:customStyle="1">
    <w:name w:val="Základní text odsazený 2 Char1"/>
    <w:basedOn w:val="820"/>
    <w:uiPriority w:val="99"/>
    <w:semiHidden/>
    <w:pPr>
      <w:pBdr/>
      <w:spacing/>
      <w:ind/>
    </w:pPr>
    <w:rPr>
      <w:rFonts w:ascii="Arial" w:hAnsi="Arial"/>
      <w:sz w:val="20"/>
    </w:rPr>
  </w:style>
  <w:style w:type="character" w:styleId="946" w:customStyle="1">
    <w:name w:val="Body Text Indent 2 Char"/>
    <w:pPr>
      <w:pBdr/>
      <w:spacing/>
      <w:ind/>
    </w:pPr>
    <w:rPr>
      <w:rFonts w:ascii="Times New Roman" w:hAnsi="Times New Roman" w:cs="Times New Roman"/>
      <w:sz w:val="24"/>
      <w:szCs w:val="24"/>
      <w:lang w:eastAsia="cs-CZ"/>
    </w:rPr>
  </w:style>
  <w:style w:type="character" w:styleId="947" w:customStyle="1">
    <w:name w:val="Body Text Char"/>
    <w:pPr>
      <w:pBdr/>
      <w:spacing/>
      <w:ind/>
    </w:pPr>
    <w:rPr>
      <w:rFonts w:ascii="Times New Roman" w:hAnsi="Times New Roman" w:cs="Times New Roman"/>
      <w:sz w:val="24"/>
      <w:szCs w:val="24"/>
    </w:rPr>
  </w:style>
  <w:style w:type="paragraph" w:styleId="948">
    <w:name w:val="No Spacing"/>
    <w:link w:val="949"/>
    <w:uiPriority w:val="1"/>
    <w:qFormat/>
    <w:pPr>
      <w:pBdr/>
      <w:spacing w:after="0" w:line="240" w:lineRule="auto"/>
      <w:ind/>
    </w:pPr>
    <w:rPr>
      <w:rFonts w:ascii="Calibri" w:hAnsi="Calibri" w:eastAsia="Times New Roman" w:cs="Times New Roman"/>
      <w:lang w:eastAsia="cs-CZ"/>
    </w:rPr>
  </w:style>
  <w:style w:type="character" w:styleId="949" w:customStyle="1">
    <w:name w:val="Bez mezer Char"/>
    <w:link w:val="948"/>
    <w:uiPriority w:val="1"/>
    <w:pPr>
      <w:pBdr/>
      <w:spacing/>
      <w:ind/>
    </w:pPr>
    <w:rPr>
      <w:rFonts w:ascii="Calibri" w:hAnsi="Calibri" w:eastAsia="Times New Roman" w:cs="Times New Roman"/>
      <w:lang w:eastAsia="cs-CZ"/>
    </w:rPr>
  </w:style>
  <w:style w:type="character" w:styleId="950">
    <w:name w:val="Strong"/>
    <w:uiPriority w:val="22"/>
    <w:qFormat/>
    <w:pPr>
      <w:pBdr/>
      <w:spacing/>
      <w:ind/>
    </w:pPr>
    <w:rPr>
      <w:b/>
      <w:bCs/>
    </w:rPr>
  </w:style>
  <w:style w:type="paragraph" w:styleId="951">
    <w:name w:val="Normal (Web)"/>
    <w:basedOn w:val="812"/>
    <w:uiPriority w:val="99"/>
    <w:unhideWhenUsed/>
    <w:pPr>
      <w:pBdr/>
      <w:spacing w:after="100" w:afterAutospacing="1" w:before="100" w:beforeAutospacing="1" w:line="240" w:lineRule="auto"/>
      <w:ind/>
      <w:jc w:val="left"/>
    </w:pPr>
    <w:rPr>
      <w:rFonts w:ascii="Times New Roman" w:hAnsi="Times New Roman" w:cs="Times New Roman" w:eastAsiaTheme="minorEastAsia"/>
      <w:sz w:val="24"/>
      <w:szCs w:val="24"/>
      <w:lang w:eastAsia="cs-CZ"/>
    </w:rPr>
  </w:style>
  <w:style w:type="paragraph" w:styleId="952" w:customStyle="1">
    <w:name w:val="western"/>
    <w:basedOn w:val="812"/>
    <w:pPr>
      <w:pBdr/>
      <w:spacing w:after="0" w:before="119" w:line="240" w:lineRule="auto"/>
      <w:ind/>
      <w:jc w:val="left"/>
    </w:pPr>
    <w:rPr>
      <w:rFonts w:ascii="Times New Roman" w:hAnsi="Times New Roman" w:eastAsia="Times New Roman" w:cs="Times New Roman"/>
      <w:color w:val="000000"/>
      <w:sz w:val="24"/>
      <w:szCs w:val="24"/>
      <w:lang w:eastAsia="cs-CZ"/>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Arial"/>
        <a:cs typeface="Arial"/>
      </a:majorFont>
      <a:minorFont>
        <a:latin typeface="Calibri"/>
        <a:ea typeface="Arial"/>
        <a:cs typeface="Arial"/>
      </a:minorFont>
    </a:fontScheme>
    <a:fmtScheme name="Kancelář">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BC2E3-BE69-42A9-B0D4-AFB5D03D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ONLYOFFICE/9.1.0.172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Pijálková</dc:creator>
  <cp:keywords/>
  <dc:description/>
  <cp:revision>129</cp:revision>
  <dcterms:created xsi:type="dcterms:W3CDTF">2024-07-19T07:31:00Z</dcterms:created>
  <dcterms:modified xsi:type="dcterms:W3CDTF">2025-11-25T05:02:58Z</dcterms:modified>
</cp:coreProperties>
</file>